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6BC0" w14:textId="77777777" w:rsidR="008A1F97" w:rsidRPr="00F14095" w:rsidRDefault="008A1F97" w:rsidP="009F68BE">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sz w:val="20"/>
          <w:szCs w:val="20"/>
        </w:rPr>
      </w:pPr>
      <w:r w:rsidRPr="00F14095">
        <w:rPr>
          <w:rFonts w:cstheme="minorHAnsi"/>
          <w:b/>
          <w:bCs/>
          <w:sz w:val="20"/>
          <w:szCs w:val="20"/>
        </w:rPr>
        <w:t>Verslag Dagelijks Bestuur LOP Ronse Basis</w:t>
      </w:r>
    </w:p>
    <w:p w14:paraId="1C9D9897" w14:textId="51ECCD96" w:rsidR="008A1F97" w:rsidRPr="00F14095" w:rsidRDefault="00C60C34" w:rsidP="009F68BE">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 xml:space="preserve">1 april </w:t>
      </w:r>
      <w:r w:rsidR="008A1F97" w:rsidRPr="00F14095">
        <w:rPr>
          <w:rFonts w:cstheme="minorHAnsi"/>
          <w:sz w:val="20"/>
          <w:szCs w:val="20"/>
        </w:rPr>
        <w:t>2022</w:t>
      </w:r>
    </w:p>
    <w:p w14:paraId="64F3ABA6"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 </w:t>
      </w:r>
    </w:p>
    <w:p w14:paraId="730CF47D" w14:textId="77777777" w:rsidR="008A1F97" w:rsidRPr="00F14095" w:rsidRDefault="008A1F97" w:rsidP="009F68BE">
      <w:pPr>
        <w:shd w:val="clear" w:color="auto" w:fill="BFBFBF" w:themeFill="background1" w:themeFillShade="BF"/>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8A1F97" w:rsidRPr="00F14095" w14:paraId="49E8F47B"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30C62E9"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D3B5618"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8629B35" w14:textId="0D034DD4" w:rsidR="008A1F97" w:rsidRPr="00F14095" w:rsidRDefault="001D646C" w:rsidP="009F68BE">
            <w:pPr>
              <w:spacing w:line="276" w:lineRule="auto"/>
              <w:jc w:val="both"/>
              <w:rPr>
                <w:rFonts w:cstheme="minorHAnsi"/>
                <w:snapToGrid w:val="0"/>
                <w:sz w:val="20"/>
                <w:szCs w:val="20"/>
              </w:rPr>
            </w:pPr>
            <w:r>
              <w:rPr>
                <w:rFonts w:cstheme="minorHAnsi"/>
                <w:snapToGrid w:val="0"/>
                <w:sz w:val="20"/>
                <w:szCs w:val="20"/>
              </w:rPr>
              <w:t>V</w:t>
            </w:r>
          </w:p>
        </w:tc>
      </w:tr>
      <w:tr w:rsidR="008A1F97" w:rsidRPr="00F14095" w14:paraId="50BBF10E"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8F7DD51"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7F21C9B"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E403849"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A</w:t>
            </w:r>
          </w:p>
        </w:tc>
      </w:tr>
      <w:tr w:rsidR="008A1F97" w:rsidRPr="00F14095" w14:paraId="4BD5CF02" w14:textId="77777777" w:rsidTr="008052C2">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51B8A30" w14:textId="77777777" w:rsidR="008A1F97" w:rsidRPr="00F14095" w:rsidRDefault="008A1F97" w:rsidP="009F68BE">
            <w:pPr>
              <w:pStyle w:val="Geenafstand"/>
              <w:spacing w:line="276" w:lineRule="auto"/>
              <w:jc w:val="both"/>
              <w:rPr>
                <w:rFonts w:cstheme="minorHAnsi"/>
                <w:sz w:val="20"/>
                <w:szCs w:val="20"/>
              </w:rPr>
            </w:pPr>
            <w:r w:rsidRPr="00F14095">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C91470E" w14:textId="77777777" w:rsidR="008A1F97" w:rsidRPr="00F14095" w:rsidRDefault="008A1F97" w:rsidP="009F68BE">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C5FA1FB" w14:textId="77777777" w:rsidR="008A1F97" w:rsidRPr="00F14095" w:rsidRDefault="008A1F97" w:rsidP="009F68BE">
            <w:pPr>
              <w:pStyle w:val="Geenafstand"/>
              <w:spacing w:line="276" w:lineRule="auto"/>
              <w:jc w:val="both"/>
              <w:rPr>
                <w:rFonts w:cstheme="minorHAnsi"/>
                <w:snapToGrid w:val="0"/>
                <w:sz w:val="20"/>
                <w:szCs w:val="20"/>
              </w:rPr>
            </w:pPr>
            <w:r w:rsidRPr="00F14095">
              <w:rPr>
                <w:rFonts w:cstheme="minorHAnsi"/>
                <w:snapToGrid w:val="0"/>
                <w:sz w:val="20"/>
                <w:szCs w:val="20"/>
              </w:rPr>
              <w:t>A</w:t>
            </w:r>
          </w:p>
        </w:tc>
      </w:tr>
      <w:tr w:rsidR="008A1F97" w:rsidRPr="00F14095" w14:paraId="688F594F"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4735BBD"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8933D99"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3AEEB8E" w14:textId="585FB548" w:rsidR="008A1F97" w:rsidRPr="00F14095" w:rsidRDefault="001D646C" w:rsidP="009F68BE">
            <w:pPr>
              <w:spacing w:line="276" w:lineRule="auto"/>
              <w:jc w:val="both"/>
              <w:rPr>
                <w:rFonts w:cstheme="minorHAnsi"/>
                <w:snapToGrid w:val="0"/>
                <w:sz w:val="20"/>
                <w:szCs w:val="20"/>
                <w:lang w:val="fr-FR"/>
              </w:rPr>
            </w:pPr>
            <w:r>
              <w:rPr>
                <w:rFonts w:cstheme="minorHAnsi"/>
                <w:snapToGrid w:val="0"/>
                <w:sz w:val="20"/>
                <w:szCs w:val="20"/>
                <w:lang w:val="fr-FR"/>
              </w:rPr>
              <w:t>V</w:t>
            </w:r>
          </w:p>
        </w:tc>
      </w:tr>
      <w:tr w:rsidR="008A1F97" w:rsidRPr="00F14095" w14:paraId="3250DC39"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E622AC7"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70FF087"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98B5BE3" w14:textId="77777777" w:rsidR="008A1F97" w:rsidRPr="00F14095" w:rsidRDefault="008A1F97" w:rsidP="009F68BE">
            <w:pPr>
              <w:spacing w:line="276" w:lineRule="auto"/>
              <w:jc w:val="both"/>
              <w:rPr>
                <w:rFonts w:cstheme="minorHAnsi"/>
                <w:snapToGrid w:val="0"/>
                <w:sz w:val="20"/>
                <w:szCs w:val="20"/>
                <w:lang w:val="fr-FR"/>
              </w:rPr>
            </w:pPr>
            <w:r w:rsidRPr="00F14095">
              <w:rPr>
                <w:rFonts w:cstheme="minorHAnsi"/>
                <w:snapToGrid w:val="0"/>
                <w:sz w:val="20"/>
                <w:szCs w:val="20"/>
                <w:lang w:val="fr-FR"/>
              </w:rPr>
              <w:t>A</w:t>
            </w:r>
          </w:p>
        </w:tc>
      </w:tr>
      <w:tr w:rsidR="008A1F97" w:rsidRPr="00F14095" w14:paraId="7D609D3E"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31D387E"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30D260B" w14:textId="0FA52673" w:rsidR="008A1F97" w:rsidRPr="00F14095" w:rsidRDefault="008A1F97" w:rsidP="009F68BE">
            <w:pPr>
              <w:spacing w:line="276" w:lineRule="auto"/>
              <w:jc w:val="both"/>
              <w:rPr>
                <w:rFonts w:cstheme="minorHAnsi"/>
                <w:snapToGrid w:val="0"/>
                <w:sz w:val="20"/>
                <w:szCs w:val="20"/>
                <w:lang w:val="en-GB"/>
              </w:rPr>
            </w:pPr>
            <w:r w:rsidRPr="00F14095">
              <w:rPr>
                <w:rFonts w:cstheme="minorHAnsi"/>
                <w:snapToGrid w:val="0"/>
                <w:sz w:val="20"/>
                <w:szCs w:val="20"/>
                <w:lang w:val="en-GB"/>
              </w:rPr>
              <w:t>KO</w:t>
            </w:r>
            <w:r w:rsidR="00E11F25">
              <w:rPr>
                <w:rFonts w:cstheme="minorHAnsi"/>
                <w:snapToGrid w:val="0"/>
                <w:sz w:val="20"/>
                <w:szCs w:val="20"/>
                <w:lang w:val="en-GB"/>
              </w:rPr>
              <w:t xml:space="preserve"> </w:t>
            </w:r>
            <w:r w:rsidRPr="00F14095">
              <w:rPr>
                <w:rFonts w:cstheme="minorHAnsi"/>
                <w:snapToGrid w:val="0"/>
                <w:sz w:val="20"/>
                <w:szCs w:val="20"/>
                <w:lang w:val="en-GB"/>
              </w:rPr>
              <w:t>Ronse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A795FE4" w14:textId="79C17E65" w:rsidR="008A1F97" w:rsidRPr="00F14095" w:rsidRDefault="001D646C" w:rsidP="009F68BE">
            <w:pPr>
              <w:spacing w:line="276" w:lineRule="auto"/>
              <w:jc w:val="both"/>
              <w:rPr>
                <w:rFonts w:cstheme="minorHAnsi"/>
                <w:snapToGrid w:val="0"/>
                <w:sz w:val="20"/>
                <w:szCs w:val="20"/>
                <w:lang w:val="en-GB"/>
              </w:rPr>
            </w:pPr>
            <w:r>
              <w:rPr>
                <w:rFonts w:cstheme="minorHAnsi"/>
                <w:snapToGrid w:val="0"/>
                <w:sz w:val="20"/>
                <w:szCs w:val="20"/>
                <w:lang w:val="en-GB"/>
              </w:rPr>
              <w:t>V</w:t>
            </w:r>
          </w:p>
        </w:tc>
      </w:tr>
      <w:tr w:rsidR="008A1F97" w:rsidRPr="00F14095" w14:paraId="20386372"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E7D578B" w14:textId="796F71AE" w:rsidR="008A1F97" w:rsidRPr="00F14095" w:rsidRDefault="001D646C" w:rsidP="009F68BE">
            <w:pPr>
              <w:spacing w:line="276" w:lineRule="auto"/>
              <w:jc w:val="both"/>
              <w:rPr>
                <w:rFonts w:cstheme="minorHAnsi"/>
                <w:sz w:val="20"/>
                <w:szCs w:val="20"/>
              </w:rPr>
            </w:pPr>
            <w:r>
              <w:rPr>
                <w:rFonts w:cstheme="minorHAnsi"/>
                <w:sz w:val="20"/>
                <w:szCs w:val="20"/>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99471CC" w14:textId="77777777" w:rsidR="008A1F97" w:rsidRPr="00F14095" w:rsidRDefault="008A1F97" w:rsidP="009F68BE">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EDE7427" w14:textId="50ECCD0E" w:rsidR="008A1F97" w:rsidRPr="00F14095" w:rsidRDefault="001D646C" w:rsidP="009F68BE">
            <w:pPr>
              <w:spacing w:line="276" w:lineRule="auto"/>
              <w:jc w:val="both"/>
              <w:rPr>
                <w:rFonts w:cstheme="minorHAnsi"/>
                <w:snapToGrid w:val="0"/>
                <w:sz w:val="20"/>
                <w:szCs w:val="20"/>
                <w:lang w:val="en-GB"/>
              </w:rPr>
            </w:pPr>
            <w:r>
              <w:rPr>
                <w:rFonts w:cstheme="minorHAnsi"/>
                <w:snapToGrid w:val="0"/>
                <w:sz w:val="20"/>
                <w:szCs w:val="20"/>
                <w:lang w:val="en-GB"/>
              </w:rPr>
              <w:t>A</w:t>
            </w:r>
          </w:p>
          <w:p w14:paraId="771ADC39" w14:textId="77777777" w:rsidR="008A1F97" w:rsidRPr="00F14095" w:rsidRDefault="008A1F97" w:rsidP="009F68BE">
            <w:pPr>
              <w:spacing w:line="276" w:lineRule="auto"/>
              <w:jc w:val="both"/>
              <w:rPr>
                <w:rFonts w:cstheme="minorHAnsi"/>
                <w:snapToGrid w:val="0"/>
                <w:sz w:val="20"/>
                <w:szCs w:val="20"/>
                <w:lang w:val="en-GB"/>
              </w:rPr>
            </w:pPr>
          </w:p>
          <w:p w14:paraId="5C7F71AA" w14:textId="77777777" w:rsidR="008A1F97" w:rsidRPr="00F14095" w:rsidRDefault="008A1F97" w:rsidP="009F68BE">
            <w:pPr>
              <w:spacing w:line="276" w:lineRule="auto"/>
              <w:jc w:val="both"/>
              <w:rPr>
                <w:rFonts w:cstheme="minorHAnsi"/>
                <w:snapToGrid w:val="0"/>
                <w:sz w:val="20"/>
                <w:szCs w:val="20"/>
                <w:lang w:val="en-GB"/>
              </w:rPr>
            </w:pPr>
          </w:p>
        </w:tc>
      </w:tr>
      <w:tr w:rsidR="008A1F97" w:rsidRPr="00F14095" w14:paraId="50B8B2A1"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E4BDA57"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F0411D9" w14:textId="77777777" w:rsidR="008A1F97" w:rsidRPr="00F14095" w:rsidRDefault="008A1F97" w:rsidP="009F68BE">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A2D8E4B" w14:textId="77777777" w:rsidR="008A1F97" w:rsidRPr="00F14095" w:rsidRDefault="008A1F97" w:rsidP="009F68BE">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8A1F97" w:rsidRPr="00F14095" w14:paraId="7CFBB8F6"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8A9AD18"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0624D0F"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632FC09" w14:textId="5FC91A8A" w:rsidR="008A1F97" w:rsidRPr="00F14095" w:rsidRDefault="001D646C" w:rsidP="009F68BE">
            <w:pPr>
              <w:spacing w:line="276" w:lineRule="auto"/>
              <w:jc w:val="both"/>
              <w:rPr>
                <w:rFonts w:cstheme="minorHAnsi"/>
                <w:snapToGrid w:val="0"/>
                <w:sz w:val="20"/>
                <w:szCs w:val="20"/>
              </w:rPr>
            </w:pPr>
            <w:r>
              <w:rPr>
                <w:rFonts w:cstheme="minorHAnsi"/>
                <w:snapToGrid w:val="0"/>
                <w:sz w:val="20"/>
                <w:szCs w:val="20"/>
              </w:rPr>
              <w:t>A</w:t>
            </w:r>
          </w:p>
        </w:tc>
      </w:tr>
      <w:tr w:rsidR="008A1F97" w:rsidRPr="00F14095" w14:paraId="5EF6C33B"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FF3BFD5"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51341FF"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ED79186"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A</w:t>
            </w:r>
          </w:p>
        </w:tc>
      </w:tr>
      <w:tr w:rsidR="008A1F97" w:rsidRPr="00F14095" w14:paraId="47A5FB0D"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BAC8A85" w14:textId="1B21D3CF" w:rsidR="008A1F97" w:rsidRPr="00F14095" w:rsidRDefault="001D646C" w:rsidP="009F68BE">
            <w:pPr>
              <w:spacing w:line="276" w:lineRule="auto"/>
              <w:jc w:val="both"/>
              <w:rPr>
                <w:rFonts w:cstheme="minorHAnsi"/>
                <w:sz w:val="20"/>
                <w:szCs w:val="20"/>
              </w:rPr>
            </w:pPr>
            <w:r>
              <w:rPr>
                <w:rFonts w:cstheme="minorHAnsi"/>
                <w:sz w:val="20"/>
                <w:szCs w:val="20"/>
              </w:rPr>
              <w:t>nn.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54AF338"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761A28F" w14:textId="77777777" w:rsidR="008A1F97" w:rsidRPr="00F14095" w:rsidRDefault="008A1F97" w:rsidP="009F68BE">
            <w:pPr>
              <w:spacing w:line="276" w:lineRule="auto"/>
              <w:jc w:val="both"/>
              <w:rPr>
                <w:rFonts w:cstheme="minorHAnsi"/>
                <w:snapToGrid w:val="0"/>
                <w:sz w:val="20"/>
                <w:szCs w:val="20"/>
              </w:rPr>
            </w:pPr>
            <w:r>
              <w:rPr>
                <w:rFonts w:cstheme="minorHAnsi"/>
                <w:snapToGrid w:val="0"/>
                <w:sz w:val="20"/>
                <w:szCs w:val="20"/>
              </w:rPr>
              <w:t>V</w:t>
            </w:r>
          </w:p>
        </w:tc>
      </w:tr>
      <w:tr w:rsidR="008A1F97" w:rsidRPr="00F14095" w14:paraId="21FB38D8"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59CF6EB"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1B95D01"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F31BBB7" w14:textId="77777777" w:rsidR="008A1F97" w:rsidRPr="00F14095" w:rsidRDefault="008A1F97" w:rsidP="009F68BE">
            <w:pPr>
              <w:spacing w:line="276" w:lineRule="auto"/>
              <w:jc w:val="both"/>
              <w:rPr>
                <w:rFonts w:cstheme="minorHAnsi"/>
                <w:snapToGrid w:val="0"/>
                <w:sz w:val="20"/>
                <w:szCs w:val="20"/>
              </w:rPr>
            </w:pPr>
            <w:r>
              <w:rPr>
                <w:rFonts w:cstheme="minorHAnsi"/>
                <w:snapToGrid w:val="0"/>
                <w:sz w:val="20"/>
                <w:szCs w:val="20"/>
              </w:rPr>
              <w:t>V</w:t>
            </w:r>
          </w:p>
        </w:tc>
      </w:tr>
      <w:tr w:rsidR="008A1F97" w:rsidRPr="00F14095" w14:paraId="2BA65EFD"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DC07662"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B8A651F"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7560FBC"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A</w:t>
            </w:r>
          </w:p>
        </w:tc>
      </w:tr>
      <w:tr w:rsidR="008A1F97" w:rsidRPr="00F14095" w14:paraId="3294AD7E"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896D286"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D172483"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BE09A85" w14:textId="0FD9FD3C" w:rsidR="008A1F97" w:rsidRPr="00F14095" w:rsidRDefault="001D646C" w:rsidP="009F68BE">
            <w:pPr>
              <w:spacing w:line="276" w:lineRule="auto"/>
              <w:jc w:val="both"/>
              <w:rPr>
                <w:rFonts w:cstheme="minorHAnsi"/>
                <w:snapToGrid w:val="0"/>
                <w:sz w:val="20"/>
                <w:szCs w:val="20"/>
              </w:rPr>
            </w:pPr>
            <w:r>
              <w:rPr>
                <w:rFonts w:cstheme="minorHAnsi"/>
                <w:snapToGrid w:val="0"/>
                <w:sz w:val="20"/>
                <w:szCs w:val="20"/>
              </w:rPr>
              <w:t>A</w:t>
            </w:r>
          </w:p>
        </w:tc>
      </w:tr>
      <w:tr w:rsidR="008A1F97" w:rsidRPr="00F14095" w14:paraId="7B7833FE"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CD09810" w14:textId="77777777" w:rsidR="008A1F97" w:rsidRPr="00F14095" w:rsidRDefault="008A1F97" w:rsidP="009F68BE">
            <w:pPr>
              <w:spacing w:line="276" w:lineRule="auto"/>
              <w:jc w:val="both"/>
              <w:rPr>
                <w:rFonts w:cstheme="minorHAnsi"/>
                <w:sz w:val="20"/>
                <w:szCs w:val="20"/>
              </w:rPr>
            </w:pPr>
            <w:r>
              <w:rPr>
                <w:rFonts w:cstheme="minorHAnsi"/>
                <w:sz w:val="20"/>
                <w:szCs w:val="20"/>
              </w:rPr>
              <w:t>Eveliene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96656C2" w14:textId="77777777" w:rsidR="008A1F97" w:rsidRPr="00F14095" w:rsidRDefault="008A1F97" w:rsidP="009F68BE">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61B2C1E" w14:textId="7BC75B40" w:rsidR="008A1F97" w:rsidRPr="00F14095" w:rsidRDefault="001D646C" w:rsidP="009F68BE">
            <w:pPr>
              <w:spacing w:line="276" w:lineRule="auto"/>
              <w:jc w:val="both"/>
              <w:rPr>
                <w:rFonts w:cstheme="minorHAnsi"/>
                <w:snapToGrid w:val="0"/>
                <w:sz w:val="20"/>
                <w:szCs w:val="20"/>
              </w:rPr>
            </w:pPr>
            <w:r>
              <w:rPr>
                <w:rFonts w:cstheme="minorHAnsi"/>
                <w:snapToGrid w:val="0"/>
                <w:sz w:val="20"/>
                <w:szCs w:val="20"/>
              </w:rPr>
              <w:t>A</w:t>
            </w:r>
          </w:p>
        </w:tc>
      </w:tr>
      <w:tr w:rsidR="008A1F97" w:rsidRPr="00F14095" w14:paraId="23804DA4" w14:textId="77777777" w:rsidTr="008052C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D6F80D9" w14:textId="77777777" w:rsidR="008A1F97" w:rsidRPr="00F14095" w:rsidRDefault="008A1F97" w:rsidP="009F68BE">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9AEDC20"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43F828D" w14:textId="77777777" w:rsidR="008A1F97" w:rsidRPr="00F14095" w:rsidRDefault="008A1F97" w:rsidP="009F68BE">
            <w:pPr>
              <w:spacing w:line="276" w:lineRule="auto"/>
              <w:jc w:val="both"/>
              <w:rPr>
                <w:rFonts w:cstheme="minorHAnsi"/>
                <w:snapToGrid w:val="0"/>
                <w:sz w:val="20"/>
                <w:szCs w:val="20"/>
              </w:rPr>
            </w:pPr>
            <w:r w:rsidRPr="00F14095">
              <w:rPr>
                <w:rFonts w:cstheme="minorHAnsi"/>
                <w:snapToGrid w:val="0"/>
                <w:sz w:val="20"/>
                <w:szCs w:val="20"/>
              </w:rPr>
              <w:t>V</w:t>
            </w:r>
          </w:p>
        </w:tc>
      </w:tr>
    </w:tbl>
    <w:p w14:paraId="0C2F4E12" w14:textId="77777777" w:rsidR="008A1F97" w:rsidRPr="00F14095" w:rsidRDefault="008A1F97" w:rsidP="009F68BE">
      <w:pPr>
        <w:pStyle w:val="Geenafstand"/>
        <w:spacing w:line="276" w:lineRule="auto"/>
        <w:jc w:val="both"/>
        <w:rPr>
          <w:rFonts w:cstheme="minorHAnsi"/>
          <w:sz w:val="20"/>
          <w:szCs w:val="20"/>
        </w:rPr>
      </w:pPr>
    </w:p>
    <w:p w14:paraId="0DD2B294" w14:textId="77777777" w:rsidR="008A1F97" w:rsidRPr="00F14095" w:rsidRDefault="008A1F97" w:rsidP="009F68BE">
      <w:pPr>
        <w:pStyle w:val="Geenafstand"/>
        <w:spacing w:line="276" w:lineRule="auto"/>
        <w:jc w:val="both"/>
        <w:rPr>
          <w:rFonts w:cstheme="minorHAnsi"/>
          <w:sz w:val="20"/>
          <w:szCs w:val="20"/>
          <w:u w:val="single"/>
        </w:rPr>
      </w:pPr>
    </w:p>
    <w:p w14:paraId="6719876B" w14:textId="77777777" w:rsidR="008A1F97" w:rsidRPr="00F14095" w:rsidRDefault="008A1F97" w:rsidP="009F68BE">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Bijlagen</w:t>
      </w:r>
    </w:p>
    <w:p w14:paraId="596D01CA" w14:textId="5340A2D8" w:rsidR="008A1F97" w:rsidRDefault="008A1F97" w:rsidP="009F68BE">
      <w:pPr>
        <w:pStyle w:val="Geenafstand"/>
        <w:jc w:val="both"/>
        <w:rPr>
          <w:rFonts w:cstheme="minorHAnsi"/>
          <w:sz w:val="20"/>
          <w:szCs w:val="20"/>
        </w:rPr>
      </w:pPr>
    </w:p>
    <w:p w14:paraId="71B42D21" w14:textId="28DAF34B" w:rsidR="008A0379" w:rsidRDefault="008A0379" w:rsidP="009F68BE">
      <w:pPr>
        <w:pStyle w:val="Geenafstand"/>
        <w:numPr>
          <w:ilvl w:val="0"/>
          <w:numId w:val="11"/>
        </w:numPr>
        <w:jc w:val="both"/>
        <w:rPr>
          <w:rFonts w:cstheme="minorHAnsi"/>
          <w:sz w:val="20"/>
          <w:szCs w:val="20"/>
        </w:rPr>
      </w:pPr>
      <w:r>
        <w:rPr>
          <w:rFonts w:cstheme="minorHAnsi"/>
          <w:sz w:val="20"/>
          <w:szCs w:val="20"/>
        </w:rPr>
        <w:t>Cijfergegevens aanmeldingsprocedure Ronse Basis 2013-2014 &gt; 2022-2023</w:t>
      </w:r>
    </w:p>
    <w:p w14:paraId="72B45E88" w14:textId="0D9E5265" w:rsidR="00EA6901" w:rsidRDefault="00EA6901" w:rsidP="009F68BE">
      <w:pPr>
        <w:pStyle w:val="Geenafstand"/>
        <w:numPr>
          <w:ilvl w:val="0"/>
          <w:numId w:val="11"/>
        </w:numPr>
        <w:jc w:val="both"/>
        <w:rPr>
          <w:rFonts w:cstheme="minorHAnsi"/>
          <w:sz w:val="20"/>
          <w:szCs w:val="20"/>
        </w:rPr>
      </w:pPr>
      <w:r>
        <w:rPr>
          <w:rFonts w:cstheme="minorHAnsi"/>
          <w:sz w:val="20"/>
          <w:szCs w:val="20"/>
        </w:rPr>
        <w:t>Ppt. Decreet inschrijvingsrecht 2022</w:t>
      </w:r>
    </w:p>
    <w:p w14:paraId="782454C1" w14:textId="24D477BC" w:rsidR="008A0379" w:rsidRDefault="008A0379" w:rsidP="009F68BE">
      <w:pPr>
        <w:pStyle w:val="Geenafstand"/>
        <w:jc w:val="both"/>
        <w:rPr>
          <w:rFonts w:cstheme="minorHAnsi"/>
          <w:sz w:val="20"/>
          <w:szCs w:val="20"/>
        </w:rPr>
      </w:pPr>
    </w:p>
    <w:p w14:paraId="06023873" w14:textId="77777777" w:rsidR="008A0379" w:rsidRPr="00F14095" w:rsidRDefault="008A0379" w:rsidP="009F68BE">
      <w:pPr>
        <w:pStyle w:val="Geenafstand"/>
        <w:jc w:val="both"/>
        <w:rPr>
          <w:rFonts w:cstheme="minorHAnsi"/>
          <w:sz w:val="20"/>
          <w:szCs w:val="20"/>
        </w:rPr>
      </w:pPr>
    </w:p>
    <w:p w14:paraId="45EA8E21" w14:textId="77777777" w:rsidR="008A1F97" w:rsidRPr="00F14095" w:rsidRDefault="008A1F97" w:rsidP="009F68BE">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525B6978" w14:textId="77777777" w:rsidR="008A1F97" w:rsidRPr="00F14095" w:rsidRDefault="008A1F97" w:rsidP="009F68BE">
      <w:pPr>
        <w:pStyle w:val="Geenafstand"/>
        <w:jc w:val="both"/>
        <w:rPr>
          <w:rStyle w:val="Zwaar"/>
          <w:rFonts w:cstheme="minorHAnsi"/>
          <w:sz w:val="20"/>
          <w:szCs w:val="20"/>
        </w:rPr>
      </w:pPr>
    </w:p>
    <w:tbl>
      <w:tblPr>
        <w:tblStyle w:val="Tabelraster"/>
        <w:tblW w:w="0" w:type="auto"/>
        <w:tblLook w:val="04A0" w:firstRow="1" w:lastRow="0" w:firstColumn="1" w:lastColumn="0" w:noHBand="0" w:noVBand="1"/>
      </w:tblPr>
      <w:tblGrid>
        <w:gridCol w:w="3020"/>
        <w:gridCol w:w="3021"/>
        <w:gridCol w:w="3021"/>
      </w:tblGrid>
      <w:tr w:rsidR="008A1F97" w:rsidRPr="00F14095" w14:paraId="49E1486A" w14:textId="77777777" w:rsidTr="008052C2">
        <w:tc>
          <w:tcPr>
            <w:tcW w:w="3020" w:type="dxa"/>
          </w:tcPr>
          <w:p w14:paraId="17EA0680" w14:textId="77777777" w:rsidR="008A1F97" w:rsidRPr="007A32BF" w:rsidRDefault="008A1F97" w:rsidP="009F68BE">
            <w:pPr>
              <w:pStyle w:val="Geenafstand"/>
              <w:jc w:val="both"/>
              <w:rPr>
                <w:rStyle w:val="Zwaar"/>
                <w:rFonts w:cstheme="minorHAnsi"/>
                <w:b w:val="0"/>
                <w:bCs w:val="0"/>
                <w:sz w:val="20"/>
                <w:szCs w:val="20"/>
              </w:rPr>
            </w:pPr>
          </w:p>
        </w:tc>
        <w:tc>
          <w:tcPr>
            <w:tcW w:w="3021" w:type="dxa"/>
          </w:tcPr>
          <w:p w14:paraId="0808112E" w14:textId="77777777" w:rsidR="008A1F97" w:rsidRPr="007A32BF" w:rsidRDefault="008A1F97" w:rsidP="009F68BE">
            <w:pPr>
              <w:pStyle w:val="Geenafstand"/>
              <w:jc w:val="both"/>
              <w:rPr>
                <w:rStyle w:val="Zwaar"/>
                <w:rFonts w:cstheme="minorHAnsi"/>
                <w:b w:val="0"/>
                <w:bCs w:val="0"/>
                <w:sz w:val="20"/>
                <w:szCs w:val="20"/>
              </w:rPr>
            </w:pPr>
            <w:r w:rsidRPr="007A32BF">
              <w:rPr>
                <w:rStyle w:val="Zwaar"/>
                <w:rFonts w:cstheme="minorHAnsi"/>
                <w:sz w:val="20"/>
                <w:szCs w:val="20"/>
              </w:rPr>
              <w:t>Tijdstip</w:t>
            </w:r>
          </w:p>
        </w:tc>
        <w:tc>
          <w:tcPr>
            <w:tcW w:w="3021" w:type="dxa"/>
          </w:tcPr>
          <w:p w14:paraId="3887B96C" w14:textId="77777777" w:rsidR="008A1F97" w:rsidRPr="007A32BF" w:rsidRDefault="008A1F97" w:rsidP="009F68BE">
            <w:pPr>
              <w:pStyle w:val="Geenafstand"/>
              <w:jc w:val="both"/>
              <w:rPr>
                <w:rStyle w:val="Zwaar"/>
                <w:rFonts w:cstheme="minorHAnsi"/>
                <w:b w:val="0"/>
                <w:bCs w:val="0"/>
                <w:sz w:val="20"/>
                <w:szCs w:val="20"/>
              </w:rPr>
            </w:pPr>
            <w:r w:rsidRPr="007A32BF">
              <w:rPr>
                <w:rStyle w:val="Zwaar"/>
                <w:rFonts w:cstheme="minorHAnsi"/>
                <w:sz w:val="20"/>
                <w:szCs w:val="20"/>
              </w:rPr>
              <w:t>Plaats</w:t>
            </w:r>
          </w:p>
        </w:tc>
      </w:tr>
      <w:tr w:rsidR="008A1F97" w:rsidRPr="00F14095" w14:paraId="37C5BA22" w14:textId="77777777" w:rsidTr="008052C2">
        <w:tc>
          <w:tcPr>
            <w:tcW w:w="3020" w:type="dxa"/>
          </w:tcPr>
          <w:p w14:paraId="62A3DEBA" w14:textId="2A39EBCE" w:rsidR="008A1F97" w:rsidRPr="00E11F25" w:rsidRDefault="00E11F25"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Algemene Vergadering</w:t>
            </w:r>
          </w:p>
        </w:tc>
        <w:tc>
          <w:tcPr>
            <w:tcW w:w="3021" w:type="dxa"/>
          </w:tcPr>
          <w:p w14:paraId="43A465B4" w14:textId="26FDCB37" w:rsidR="008A1F97" w:rsidRPr="00E11F25" w:rsidRDefault="00E11F25"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Di. 10 mei</w:t>
            </w:r>
            <w:r w:rsidR="008A1F97" w:rsidRPr="00E11F25">
              <w:rPr>
                <w:rStyle w:val="Zwaar"/>
                <w:rFonts w:cstheme="minorHAnsi"/>
                <w:b w:val="0"/>
                <w:bCs w:val="0"/>
                <w:sz w:val="20"/>
                <w:szCs w:val="20"/>
              </w:rPr>
              <w:t xml:space="preserve"> 2022 om </w:t>
            </w:r>
            <w:r w:rsidRPr="00E11F25">
              <w:rPr>
                <w:rStyle w:val="Zwaar"/>
                <w:rFonts w:cstheme="minorHAnsi"/>
                <w:b w:val="0"/>
                <w:bCs w:val="0"/>
                <w:sz w:val="20"/>
                <w:szCs w:val="20"/>
              </w:rPr>
              <w:t>16</w:t>
            </w:r>
            <w:r w:rsidR="008A1F97" w:rsidRPr="00E11F25">
              <w:rPr>
                <w:rStyle w:val="Zwaar"/>
                <w:rFonts w:cstheme="minorHAnsi"/>
                <w:b w:val="0"/>
                <w:bCs w:val="0"/>
                <w:sz w:val="20"/>
                <w:szCs w:val="20"/>
              </w:rPr>
              <w:t>u</w:t>
            </w:r>
          </w:p>
        </w:tc>
        <w:tc>
          <w:tcPr>
            <w:tcW w:w="3021" w:type="dxa"/>
          </w:tcPr>
          <w:p w14:paraId="14DE85F5" w14:textId="37C2D2CB" w:rsidR="008A1F97" w:rsidRPr="00E11F25" w:rsidRDefault="00E11F25"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CC De Ververij lok. 105</w:t>
            </w:r>
          </w:p>
        </w:tc>
      </w:tr>
      <w:tr w:rsidR="008A1F97" w:rsidRPr="00F14095" w14:paraId="74C1B679" w14:textId="77777777" w:rsidTr="008052C2">
        <w:tc>
          <w:tcPr>
            <w:tcW w:w="3020" w:type="dxa"/>
          </w:tcPr>
          <w:p w14:paraId="378271AF" w14:textId="77777777" w:rsidR="008A1F97" w:rsidRPr="00E11F25" w:rsidRDefault="008A1F97"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Dagelijks Bestuur</w:t>
            </w:r>
          </w:p>
        </w:tc>
        <w:tc>
          <w:tcPr>
            <w:tcW w:w="3021" w:type="dxa"/>
          </w:tcPr>
          <w:p w14:paraId="22501D6B" w14:textId="77777777" w:rsidR="008A1F97" w:rsidRPr="00E11F25" w:rsidRDefault="008A1F97"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Di. 7 juni 2022 om 9u</w:t>
            </w:r>
          </w:p>
        </w:tc>
        <w:tc>
          <w:tcPr>
            <w:tcW w:w="3021" w:type="dxa"/>
          </w:tcPr>
          <w:p w14:paraId="7685595A" w14:textId="77777777" w:rsidR="008A1F97" w:rsidRPr="00E11F25" w:rsidRDefault="008A1F97" w:rsidP="009F68BE">
            <w:pPr>
              <w:pStyle w:val="Geenafstand"/>
              <w:jc w:val="both"/>
              <w:rPr>
                <w:rStyle w:val="Zwaar"/>
                <w:rFonts w:cstheme="minorHAnsi"/>
                <w:b w:val="0"/>
                <w:bCs w:val="0"/>
                <w:sz w:val="20"/>
                <w:szCs w:val="20"/>
              </w:rPr>
            </w:pPr>
            <w:r w:rsidRPr="00E11F25">
              <w:rPr>
                <w:rStyle w:val="Zwaar"/>
                <w:rFonts w:cstheme="minorHAnsi"/>
                <w:b w:val="0"/>
                <w:bCs w:val="0"/>
                <w:sz w:val="20"/>
                <w:szCs w:val="20"/>
              </w:rPr>
              <w:t>Nog vast te leggen</w:t>
            </w:r>
          </w:p>
        </w:tc>
      </w:tr>
    </w:tbl>
    <w:p w14:paraId="468225A2" w14:textId="39BCE4CC" w:rsidR="008A1F97" w:rsidRDefault="008A1F97" w:rsidP="009F68BE">
      <w:pPr>
        <w:pStyle w:val="Geenafstand"/>
        <w:jc w:val="both"/>
        <w:rPr>
          <w:rStyle w:val="Zwaar"/>
          <w:rFonts w:cstheme="minorHAnsi"/>
          <w:b w:val="0"/>
          <w:bCs w:val="0"/>
          <w:sz w:val="20"/>
          <w:szCs w:val="20"/>
        </w:rPr>
      </w:pPr>
    </w:p>
    <w:p w14:paraId="1EA23A08" w14:textId="77777777" w:rsidR="00EA6901" w:rsidRPr="00F14095" w:rsidRDefault="00EA6901" w:rsidP="009F68BE">
      <w:pPr>
        <w:pStyle w:val="Geenafstand"/>
        <w:jc w:val="both"/>
        <w:rPr>
          <w:rStyle w:val="Zwaar"/>
          <w:rFonts w:cstheme="minorHAnsi"/>
          <w:b w:val="0"/>
          <w:bCs w:val="0"/>
          <w:sz w:val="20"/>
          <w:szCs w:val="20"/>
        </w:rPr>
      </w:pPr>
    </w:p>
    <w:p w14:paraId="09EAA46D" w14:textId="77777777" w:rsidR="008A1F97" w:rsidRPr="00F14095" w:rsidRDefault="008A1F97" w:rsidP="009F68BE">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Agenda</w:t>
      </w:r>
    </w:p>
    <w:p w14:paraId="09B2A4A5" w14:textId="77777777" w:rsidR="008A1F97" w:rsidRDefault="008A1F97" w:rsidP="009F68BE">
      <w:pPr>
        <w:pStyle w:val="Geenafstand"/>
        <w:jc w:val="both"/>
        <w:rPr>
          <w:rFonts w:cstheme="minorHAnsi"/>
          <w:sz w:val="20"/>
          <w:szCs w:val="20"/>
        </w:rPr>
      </w:pPr>
    </w:p>
    <w:p w14:paraId="3BDBB0E4" w14:textId="77777777" w:rsidR="00196A43" w:rsidRDefault="00196A43" w:rsidP="009F68BE">
      <w:pPr>
        <w:pStyle w:val="Lijstalinea"/>
        <w:numPr>
          <w:ilvl w:val="0"/>
          <w:numId w:val="2"/>
        </w:numPr>
        <w:jc w:val="both"/>
      </w:pPr>
      <w:r>
        <w:t>Goedkeuring vorig verslag</w:t>
      </w:r>
    </w:p>
    <w:p w14:paraId="2123BECB" w14:textId="46CCDA33" w:rsidR="00E11F25" w:rsidRPr="00E11F25" w:rsidRDefault="00E11F25" w:rsidP="009F68BE">
      <w:pPr>
        <w:pStyle w:val="Lijstalinea"/>
        <w:numPr>
          <w:ilvl w:val="0"/>
          <w:numId w:val="2"/>
        </w:numPr>
        <w:jc w:val="both"/>
      </w:pPr>
      <w:r w:rsidRPr="00E11F25">
        <w:t>Aanmeldingsprocedure 2022-2023</w:t>
      </w:r>
    </w:p>
    <w:p w14:paraId="4EF76525" w14:textId="77777777" w:rsidR="00E11F25" w:rsidRPr="00E11F25" w:rsidRDefault="00E11F25" w:rsidP="009F68BE">
      <w:pPr>
        <w:pStyle w:val="Lijstalinea"/>
        <w:numPr>
          <w:ilvl w:val="0"/>
          <w:numId w:val="2"/>
        </w:numPr>
        <w:jc w:val="both"/>
      </w:pPr>
      <w:r w:rsidRPr="00E11F25">
        <w:t>Decreet inschrijvingsrecht 2023-2024</w:t>
      </w:r>
    </w:p>
    <w:p w14:paraId="4D29F2EE" w14:textId="77777777" w:rsidR="00E11F25" w:rsidRPr="00E11F25" w:rsidRDefault="00E11F25" w:rsidP="009F68BE">
      <w:pPr>
        <w:pStyle w:val="Lijstalinea"/>
        <w:numPr>
          <w:ilvl w:val="0"/>
          <w:numId w:val="2"/>
        </w:numPr>
        <w:jc w:val="both"/>
      </w:pPr>
      <w:r w:rsidRPr="00E11F25">
        <w:t>Stand van zaken vluchtelingen Oekraïne</w:t>
      </w:r>
    </w:p>
    <w:p w14:paraId="5D596AED" w14:textId="77777777" w:rsidR="00E11F25" w:rsidRPr="00E11F25" w:rsidRDefault="00E11F25" w:rsidP="009F68BE">
      <w:pPr>
        <w:pStyle w:val="Lijstalinea"/>
        <w:numPr>
          <w:ilvl w:val="0"/>
          <w:numId w:val="2"/>
        </w:numPr>
        <w:jc w:val="both"/>
      </w:pPr>
      <w:r w:rsidRPr="00E11F25">
        <w:t>Werkgroep huiswerkbeleid</w:t>
      </w:r>
    </w:p>
    <w:p w14:paraId="527BC104" w14:textId="5273ED31" w:rsidR="00E11F25" w:rsidRDefault="00E11F25" w:rsidP="009F68BE">
      <w:pPr>
        <w:pStyle w:val="Lijstalinea"/>
        <w:numPr>
          <w:ilvl w:val="0"/>
          <w:numId w:val="2"/>
        </w:numPr>
        <w:jc w:val="both"/>
      </w:pPr>
      <w:r w:rsidRPr="00E11F25">
        <w:t>Evaluatie studiedag zittenblijven</w:t>
      </w:r>
    </w:p>
    <w:p w14:paraId="445F4399" w14:textId="59B34E3A" w:rsidR="00196A43" w:rsidRPr="00E11F25" w:rsidRDefault="00196A43" w:rsidP="009F68BE">
      <w:pPr>
        <w:pStyle w:val="Lijstalinea"/>
        <w:numPr>
          <w:ilvl w:val="0"/>
          <w:numId w:val="2"/>
        </w:numPr>
        <w:jc w:val="both"/>
      </w:pPr>
      <w:r w:rsidRPr="00E11F25">
        <w:t>Algemene Vergadering</w:t>
      </w:r>
    </w:p>
    <w:p w14:paraId="2953B926" w14:textId="0DCB9AA0" w:rsidR="008A1F97" w:rsidRDefault="008A1F97" w:rsidP="009F68BE">
      <w:pPr>
        <w:pStyle w:val="Geenafstand"/>
        <w:jc w:val="both"/>
        <w:rPr>
          <w:rFonts w:cstheme="minorHAnsi"/>
          <w:sz w:val="20"/>
          <w:szCs w:val="20"/>
        </w:rPr>
      </w:pPr>
    </w:p>
    <w:p w14:paraId="56F7ACDD" w14:textId="76AF71B9" w:rsidR="00EA6901" w:rsidRDefault="00EA6901" w:rsidP="009F68BE">
      <w:pPr>
        <w:pStyle w:val="Geenafstand"/>
        <w:jc w:val="both"/>
        <w:rPr>
          <w:rFonts w:cstheme="minorHAnsi"/>
          <w:sz w:val="20"/>
          <w:szCs w:val="20"/>
        </w:rPr>
      </w:pPr>
    </w:p>
    <w:p w14:paraId="43AAC56F" w14:textId="09651DA7" w:rsidR="00EA6901" w:rsidRDefault="00EA6901" w:rsidP="009F68BE">
      <w:pPr>
        <w:pStyle w:val="Geenafstand"/>
        <w:jc w:val="both"/>
        <w:rPr>
          <w:rFonts w:cstheme="minorHAnsi"/>
          <w:sz w:val="20"/>
          <w:szCs w:val="20"/>
        </w:rPr>
      </w:pPr>
    </w:p>
    <w:p w14:paraId="072F397B" w14:textId="77777777" w:rsidR="00EA6901" w:rsidRDefault="00EA6901" w:rsidP="009F68BE">
      <w:pPr>
        <w:pStyle w:val="Geenafstand"/>
        <w:jc w:val="both"/>
        <w:rPr>
          <w:rFonts w:cstheme="minorHAnsi"/>
          <w:sz w:val="20"/>
          <w:szCs w:val="20"/>
        </w:rPr>
      </w:pPr>
    </w:p>
    <w:p w14:paraId="75C20611" w14:textId="77777777" w:rsidR="008A1F97" w:rsidRPr="00F14095" w:rsidRDefault="008A1F97" w:rsidP="009F68BE">
      <w:pPr>
        <w:pStyle w:val="Geenafstand"/>
        <w:shd w:val="clear" w:color="auto" w:fill="BFBFBF" w:themeFill="background1" w:themeFillShade="BF"/>
        <w:spacing w:line="276" w:lineRule="auto"/>
        <w:jc w:val="both"/>
        <w:rPr>
          <w:rFonts w:cstheme="minorHAnsi"/>
          <w:b/>
          <w:sz w:val="20"/>
          <w:szCs w:val="20"/>
        </w:rPr>
      </w:pPr>
      <w:r w:rsidRPr="00F14095">
        <w:rPr>
          <w:rFonts w:cstheme="minorHAnsi"/>
          <w:b/>
          <w:sz w:val="20"/>
          <w:szCs w:val="20"/>
        </w:rPr>
        <w:lastRenderedPageBreak/>
        <w:t>Verslag</w:t>
      </w:r>
    </w:p>
    <w:p w14:paraId="2F6FA8D9" w14:textId="77777777" w:rsidR="008A1F97" w:rsidRPr="00F14095" w:rsidRDefault="008A1F97" w:rsidP="009F68BE">
      <w:pPr>
        <w:spacing w:line="276" w:lineRule="auto"/>
        <w:jc w:val="both"/>
        <w:rPr>
          <w:rFonts w:cstheme="minorHAnsi"/>
          <w:sz w:val="20"/>
          <w:szCs w:val="20"/>
        </w:rPr>
      </w:pPr>
    </w:p>
    <w:p w14:paraId="69AD4B3F" w14:textId="77777777" w:rsidR="008A1F97" w:rsidRPr="00F14095" w:rsidRDefault="008A1F97" w:rsidP="009F68BE">
      <w:pPr>
        <w:pStyle w:val="Lijstalinea"/>
        <w:numPr>
          <w:ilvl w:val="0"/>
          <w:numId w:val="7"/>
        </w:numPr>
        <w:shd w:val="clear" w:color="auto" w:fill="F2F2F2" w:themeFill="background1" w:themeFillShade="F2"/>
        <w:spacing w:line="276" w:lineRule="auto"/>
        <w:ind w:left="0" w:firstLine="0"/>
        <w:jc w:val="both"/>
        <w:rPr>
          <w:rFonts w:cstheme="minorHAnsi"/>
          <w:b/>
          <w:sz w:val="20"/>
          <w:szCs w:val="20"/>
        </w:rPr>
      </w:pPr>
      <w:r w:rsidRPr="00F14095">
        <w:rPr>
          <w:rFonts w:cstheme="minorHAnsi"/>
          <w:b/>
          <w:sz w:val="20"/>
          <w:szCs w:val="20"/>
        </w:rPr>
        <w:t>Goedkeuring vorig verslag</w:t>
      </w:r>
    </w:p>
    <w:p w14:paraId="382C957E" w14:textId="26C48CA8" w:rsidR="008A1F97" w:rsidRPr="00F14095" w:rsidRDefault="008A1F97" w:rsidP="009F68BE">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sidR="00E11F25">
        <w:rPr>
          <w:rFonts w:cstheme="minorHAnsi"/>
          <w:sz w:val="20"/>
          <w:szCs w:val="20"/>
        </w:rPr>
        <w:t>20 januari</w:t>
      </w:r>
      <w:r w:rsidRPr="00F14095">
        <w:rPr>
          <w:rFonts w:cstheme="minorHAnsi"/>
          <w:sz w:val="20"/>
          <w:szCs w:val="20"/>
        </w:rPr>
        <w:t xml:space="preserve"> 202</w:t>
      </w:r>
      <w:r w:rsidR="00E11F25">
        <w:rPr>
          <w:rFonts w:cstheme="minorHAnsi"/>
          <w:sz w:val="20"/>
          <w:szCs w:val="20"/>
        </w:rPr>
        <w:t>2</w:t>
      </w:r>
      <w:r w:rsidRPr="00F14095">
        <w:rPr>
          <w:rFonts w:cstheme="minorHAnsi"/>
          <w:sz w:val="20"/>
          <w:szCs w:val="20"/>
        </w:rPr>
        <w:t>. Het verslag is bijgevolg goedgekeurd.</w:t>
      </w:r>
    </w:p>
    <w:p w14:paraId="216FC1F1" w14:textId="77777777" w:rsidR="008A1F97" w:rsidRPr="00F14095" w:rsidRDefault="008A1F97" w:rsidP="009F68BE">
      <w:pPr>
        <w:pStyle w:val="Geenafstand"/>
        <w:jc w:val="both"/>
        <w:rPr>
          <w:rFonts w:cstheme="minorHAnsi"/>
          <w:sz w:val="20"/>
          <w:szCs w:val="20"/>
        </w:rPr>
      </w:pPr>
    </w:p>
    <w:p w14:paraId="4842EE9D" w14:textId="53846728" w:rsidR="008A1F97" w:rsidRPr="002665BE" w:rsidRDefault="00E11F25" w:rsidP="002665BE">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sidRPr="00E11F25">
        <w:rPr>
          <w:b/>
          <w:bCs/>
        </w:rPr>
        <w:t>Aanmeldingsprocedure 2022-2023</w:t>
      </w:r>
    </w:p>
    <w:p w14:paraId="71C4A6F4" w14:textId="77777777" w:rsidR="002665BE" w:rsidRDefault="002665BE" w:rsidP="002665BE">
      <w:pPr>
        <w:pStyle w:val="Geenafstand"/>
        <w:jc w:val="both"/>
      </w:pPr>
    </w:p>
    <w:p w14:paraId="71D81E4B" w14:textId="561E5789" w:rsidR="00FF67E6" w:rsidRDefault="00FF67E6" w:rsidP="009F68BE">
      <w:pPr>
        <w:pStyle w:val="Lijstalinea"/>
        <w:numPr>
          <w:ilvl w:val="0"/>
          <w:numId w:val="10"/>
        </w:numPr>
        <w:jc w:val="both"/>
      </w:pPr>
      <w:r>
        <w:t xml:space="preserve">De aanmeldingsprocedure (AP) is </w:t>
      </w:r>
      <w:r w:rsidR="00CB5A1B">
        <w:t>vlot</w:t>
      </w:r>
      <w:r>
        <w:t xml:space="preserve"> verlopen</w:t>
      </w:r>
      <w:r w:rsidR="00CB5A1B">
        <w:t xml:space="preserve">. </w:t>
      </w:r>
      <w:r w:rsidR="00840E64">
        <w:t>Opvallend veel late aanmeldingen (36 op de laatste 4 dagen) wijzen erop dat mensen lang getwijfeld hebben</w:t>
      </w:r>
      <w:r w:rsidR="00C76511">
        <w:t xml:space="preserve"> of om een andere reden laat beslist.</w:t>
      </w:r>
    </w:p>
    <w:p w14:paraId="252EFA46" w14:textId="61CCBDC3" w:rsidR="00CB5A1B" w:rsidRDefault="00CB5A1B" w:rsidP="009F68BE">
      <w:pPr>
        <w:pStyle w:val="Lijstalinea"/>
        <w:numPr>
          <w:ilvl w:val="0"/>
          <w:numId w:val="10"/>
        </w:numPr>
        <w:jc w:val="both"/>
      </w:pPr>
      <w:r>
        <w:t>Op een totaal van 172 aanmeldingen kunnen 154 kinderen (90%) toegewezen worden, waarvan 145 (84%) eerste keuze, en 5 (3%) tweede keuze. 18 kinderen (10%) hebben geen toewijzing. Daarbij zijn twee kinderen met twee keuzes en ook één kind met drie keuzes.</w:t>
      </w:r>
    </w:p>
    <w:p w14:paraId="44C852A3" w14:textId="7C52C5A8" w:rsidR="00C76511" w:rsidRDefault="00C76511" w:rsidP="009F68BE">
      <w:pPr>
        <w:pStyle w:val="Lijstalinea"/>
        <w:numPr>
          <w:ilvl w:val="0"/>
          <w:numId w:val="10"/>
        </w:numPr>
        <w:jc w:val="both"/>
      </w:pPr>
      <w:r>
        <w:t>Naar gewoonte heeft 1/3 (33%) van de Ronsese ouders van instappertjes zijn kind aangemeld. Het andere 1/3 was reeds als broer/zus ingeschreven. We gaan ervan uit dat er nog kinderen ingeschreven worden tijdens de vrije inschrijvingen, maar opnieuw stellen we vast dat een klein derde van de ouders zijn peuter elders inschrijft. Het grootste deel schrijft wellicht opnieuw in in de randgemeente Maarkedal. Kleinere aantallen schrijven in in Broeke</w:t>
      </w:r>
      <w:r w:rsidR="006F2669">
        <w:t>, in het Franse Gewest</w:t>
      </w:r>
      <w:r>
        <w:t xml:space="preserve"> of </w:t>
      </w:r>
      <w:r w:rsidR="006F2669">
        <w:t xml:space="preserve">in </w:t>
      </w:r>
    </w:p>
    <w:p w14:paraId="36BCF282" w14:textId="6B13A4AA" w:rsidR="00A00974" w:rsidRDefault="00A00974" w:rsidP="009F68BE">
      <w:pPr>
        <w:pStyle w:val="Lijstalinea"/>
        <w:numPr>
          <w:ilvl w:val="0"/>
          <w:numId w:val="10"/>
        </w:numPr>
        <w:jc w:val="both"/>
      </w:pPr>
      <w:r>
        <w:t xml:space="preserve">Anderzijds worden steeds meer peuters van over de taalgrens in Ronse ingeschreven. Deze keer zijn het er 30 of 17%. </w:t>
      </w:r>
    </w:p>
    <w:p w14:paraId="6BA10019" w14:textId="38317A22" w:rsidR="008A0379" w:rsidRDefault="008A0379" w:rsidP="009F68BE">
      <w:pPr>
        <w:pStyle w:val="Lijstalinea"/>
        <w:numPr>
          <w:ilvl w:val="0"/>
          <w:numId w:val="10"/>
        </w:numPr>
        <w:jc w:val="both"/>
      </w:pPr>
      <w:r>
        <w:t xml:space="preserve">Voor alle cijfergegevens zie </w:t>
      </w:r>
      <w:r>
        <w:rPr>
          <w:b/>
          <w:bCs/>
        </w:rPr>
        <w:t>bijlage 1</w:t>
      </w:r>
      <w:r>
        <w:t xml:space="preserve">. </w:t>
      </w:r>
    </w:p>
    <w:p w14:paraId="5D27308F" w14:textId="0AD88C38" w:rsidR="00BC3147" w:rsidRDefault="00BC3147" w:rsidP="009F68BE">
      <w:pPr>
        <w:jc w:val="both"/>
      </w:pPr>
    </w:p>
    <w:p w14:paraId="3087F4DF" w14:textId="092C6367" w:rsidR="00BC3147" w:rsidRDefault="00BC3147" w:rsidP="009F68BE">
      <w:pPr>
        <w:pStyle w:val="Lijstalinea"/>
        <w:numPr>
          <w:ilvl w:val="0"/>
          <w:numId w:val="14"/>
        </w:numPr>
        <w:jc w:val="both"/>
      </w:pPr>
      <w:r>
        <w:t>Er zijn twee gevallen van broers/zussen waarvan het ene kind plaats heeft en het andere niet, en waarbij de school bereid is voor dit laatste kind overcapaciteit aan te bieden. Onze disfunctiecommissie keurt dergelijke gevallen altijd principieel goed.</w:t>
      </w:r>
    </w:p>
    <w:p w14:paraId="13923BF3" w14:textId="77777777" w:rsidR="008A1F97" w:rsidRPr="008A1F97" w:rsidRDefault="008A1F97" w:rsidP="009F68BE">
      <w:pPr>
        <w:jc w:val="both"/>
        <w:rPr>
          <w:b/>
          <w:bCs/>
        </w:rPr>
      </w:pPr>
    </w:p>
    <w:p w14:paraId="3707A389" w14:textId="77777777" w:rsidR="008A0379" w:rsidRPr="008A0379" w:rsidRDefault="008A0379" w:rsidP="009F68BE">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sidRPr="008A0379">
        <w:rPr>
          <w:b/>
          <w:bCs/>
        </w:rPr>
        <w:t>Decreet inschrijvingsrecht 2023-2024</w:t>
      </w:r>
    </w:p>
    <w:p w14:paraId="209743CD" w14:textId="334746F0" w:rsidR="008A1F97" w:rsidRDefault="008A1F97" w:rsidP="009F68BE">
      <w:pPr>
        <w:ind w:left="360"/>
        <w:jc w:val="both"/>
        <w:rPr>
          <w:b/>
          <w:bCs/>
        </w:rPr>
      </w:pPr>
    </w:p>
    <w:p w14:paraId="569BB27B" w14:textId="3D9B9095" w:rsidR="00F95129" w:rsidRDefault="006D39FF" w:rsidP="009F68BE">
      <w:pPr>
        <w:jc w:val="both"/>
      </w:pPr>
      <w:r w:rsidRPr="006D39FF">
        <w:t>Op 25 februari 2022</w:t>
      </w:r>
      <w:r>
        <w:t xml:space="preserve"> is een Vlaams decreet goedgekeurd ter wijziging van het inschrijvingsrecht gewoon basis- en secundair onderwijs.</w:t>
      </w:r>
      <w:r w:rsidR="00F95129">
        <w:t xml:space="preserve"> Het decreet gaat in voege op 1 september 2022. Dit zijn de belangrijkste punten (zie ook ppt. In </w:t>
      </w:r>
      <w:r w:rsidR="00F95129" w:rsidRPr="007B6D21">
        <w:rPr>
          <w:b/>
          <w:bCs/>
        </w:rPr>
        <w:t>bijlage 2</w:t>
      </w:r>
      <w:r w:rsidR="00F95129">
        <w:t>):</w:t>
      </w:r>
    </w:p>
    <w:p w14:paraId="2E1AF4B2" w14:textId="77777777" w:rsidR="00F95129" w:rsidRDefault="00F95129" w:rsidP="009F68BE">
      <w:pPr>
        <w:pStyle w:val="Lijstalinea"/>
        <w:numPr>
          <w:ilvl w:val="1"/>
          <w:numId w:val="3"/>
        </w:numPr>
        <w:ind w:left="360"/>
        <w:jc w:val="both"/>
      </w:pPr>
      <w:r w:rsidRPr="00715D64">
        <w:t xml:space="preserve">Een schoolbestuur dat leerlingen </w:t>
      </w:r>
      <w:r w:rsidRPr="00715D64">
        <w:rPr>
          <w:b/>
          <w:bCs/>
        </w:rPr>
        <w:t>wil kunnen weigeren op basis van capaciteit</w:t>
      </w:r>
      <w:r w:rsidRPr="00715D64">
        <w:t>, moet in het voorafgaande schooljaar (dus 2022-2023) een aanmeldingsprocedure inrichten.</w:t>
      </w:r>
      <w:r>
        <w:t xml:space="preserve"> Scholen die geen aanmeldingsprocedure inrichten, schrijven alle leerlingen chronologisch in tijdens het hele schooljaar 2023-2024. Bij een eerste navraag zou in Geraardsbergen Basis alleen Freinetschool De Klaproos aanmelden, zoals voorheen.</w:t>
      </w:r>
    </w:p>
    <w:p w14:paraId="5B2A2C9A" w14:textId="77777777" w:rsidR="00F95129" w:rsidRDefault="00F95129" w:rsidP="009F68BE">
      <w:pPr>
        <w:pStyle w:val="Lijstalinea"/>
        <w:numPr>
          <w:ilvl w:val="1"/>
          <w:numId w:val="3"/>
        </w:numPr>
        <w:ind w:left="360"/>
        <w:jc w:val="both"/>
      </w:pPr>
      <w:r w:rsidRPr="00715D64">
        <w:rPr>
          <w:u w:val="single"/>
        </w:rPr>
        <w:t>Scholen die niet aanmelden</w:t>
      </w:r>
      <w:r>
        <w:t xml:space="preserve"> zijn bijgevolg ook </w:t>
      </w:r>
      <w:r w:rsidRPr="00715D64">
        <w:rPr>
          <w:b/>
          <w:bCs/>
        </w:rPr>
        <w:t>vrijgesteld</w:t>
      </w:r>
      <w:r>
        <w:t xml:space="preserve"> van het bepalen van capaciteit, het opgeven van vrije plaatsen, het organiseren van voorrangsperiodes. Ook de dubbele contingentering vervalt. Inschrijven kan in principe vanaf 1 september 2022. Wel is het aangewezen om een gezamenlijke begindatum af te spreken, zodat het eenvoudig en duidelijk is voor de ouders.</w:t>
      </w:r>
    </w:p>
    <w:p w14:paraId="7BFDE4E9" w14:textId="77777777" w:rsidR="00F95129" w:rsidRDefault="00F95129" w:rsidP="009F68BE">
      <w:pPr>
        <w:pStyle w:val="Lijstalinea"/>
        <w:numPr>
          <w:ilvl w:val="1"/>
          <w:numId w:val="3"/>
        </w:numPr>
        <w:ind w:left="360"/>
        <w:jc w:val="both"/>
      </w:pPr>
      <w:r w:rsidRPr="00715D64">
        <w:rPr>
          <w:u w:val="single"/>
        </w:rPr>
        <w:lastRenderedPageBreak/>
        <w:t>Scholen die wel aanmelden</w:t>
      </w:r>
      <w:r>
        <w:t>:</w:t>
      </w:r>
    </w:p>
    <w:p w14:paraId="5643BE19" w14:textId="77777777" w:rsidR="00F95129" w:rsidRDefault="00F95129" w:rsidP="009F68BE">
      <w:pPr>
        <w:pStyle w:val="Lijstalinea"/>
        <w:numPr>
          <w:ilvl w:val="2"/>
          <w:numId w:val="3"/>
        </w:numPr>
        <w:ind w:left="1080"/>
        <w:jc w:val="both"/>
      </w:pPr>
      <w:r>
        <w:t xml:space="preserve">Doen dit via een </w:t>
      </w:r>
      <w:r w:rsidRPr="00715D64">
        <w:rPr>
          <w:b/>
          <w:bCs/>
        </w:rPr>
        <w:t>digitale</w:t>
      </w:r>
      <w:r>
        <w:t xml:space="preserve"> toepassing;</w:t>
      </w:r>
    </w:p>
    <w:p w14:paraId="7FE09DDE" w14:textId="4EBDB2BE" w:rsidR="00F95129" w:rsidRDefault="00F95129" w:rsidP="009F68BE">
      <w:pPr>
        <w:pStyle w:val="Lijstalinea"/>
        <w:numPr>
          <w:ilvl w:val="2"/>
          <w:numId w:val="3"/>
        </w:numPr>
        <w:ind w:left="1080"/>
        <w:jc w:val="both"/>
      </w:pPr>
      <w:r>
        <w:t xml:space="preserve">Doen dit </w:t>
      </w:r>
      <w:r w:rsidRPr="00715D64">
        <w:rPr>
          <w:b/>
          <w:bCs/>
        </w:rPr>
        <w:t>gezamenlijk</w:t>
      </w:r>
      <w:r>
        <w:t xml:space="preserve"> indien het meer dan één school binnen een LOP betreft;</w:t>
      </w:r>
    </w:p>
    <w:p w14:paraId="67155737" w14:textId="77777777" w:rsidR="00F95129" w:rsidRDefault="00F95129" w:rsidP="009F68BE">
      <w:pPr>
        <w:pStyle w:val="Lijstalinea"/>
        <w:numPr>
          <w:ilvl w:val="2"/>
          <w:numId w:val="3"/>
        </w:numPr>
        <w:ind w:left="1080"/>
        <w:jc w:val="both"/>
      </w:pPr>
      <w:r>
        <w:t xml:space="preserve">Dienen een </w:t>
      </w:r>
      <w:r w:rsidRPr="00715D64">
        <w:rPr>
          <w:b/>
          <w:bCs/>
        </w:rPr>
        <w:t>dossier</w:t>
      </w:r>
      <w:r>
        <w:t xml:space="preserve"> in tegen </w:t>
      </w:r>
      <w:r w:rsidRPr="00715D64">
        <w:t xml:space="preserve">15 november </w:t>
      </w:r>
      <w:r>
        <w:t>2022 (bij AGODI als het een standaarddossier betreft, bij de CLR indien het een afwijking betreft);</w:t>
      </w:r>
    </w:p>
    <w:p w14:paraId="38BFC5B4" w14:textId="458BB033" w:rsidR="00F95129" w:rsidRDefault="00F95129" w:rsidP="009F68BE">
      <w:pPr>
        <w:pStyle w:val="Lijstalinea"/>
        <w:numPr>
          <w:ilvl w:val="2"/>
          <w:numId w:val="3"/>
        </w:numPr>
        <w:ind w:left="1080"/>
        <w:jc w:val="both"/>
      </w:pPr>
      <w:r>
        <w:t xml:space="preserve">Volgen een gezamenlijke Vlaamse </w:t>
      </w:r>
      <w:r w:rsidRPr="00715D64">
        <w:rPr>
          <w:b/>
          <w:bCs/>
        </w:rPr>
        <w:t>tijdlijn</w:t>
      </w:r>
      <w:r>
        <w:t xml:space="preserve"> (zie ppt. In </w:t>
      </w:r>
      <w:r>
        <w:rPr>
          <w:b/>
          <w:bCs/>
        </w:rPr>
        <w:t>bijlage 2</w:t>
      </w:r>
      <w:r>
        <w:t>);</w:t>
      </w:r>
    </w:p>
    <w:p w14:paraId="3010535F" w14:textId="77777777" w:rsidR="00F95129" w:rsidRDefault="00F95129" w:rsidP="009F68BE">
      <w:pPr>
        <w:pStyle w:val="Lijstalinea"/>
        <w:numPr>
          <w:ilvl w:val="2"/>
          <w:numId w:val="3"/>
        </w:numPr>
        <w:ind w:left="1080"/>
        <w:jc w:val="both"/>
      </w:pPr>
      <w:r>
        <w:t xml:space="preserve">Bepalen </w:t>
      </w:r>
      <w:r w:rsidRPr="00715D64">
        <w:rPr>
          <w:b/>
          <w:bCs/>
        </w:rPr>
        <w:t>capaciteit</w:t>
      </w:r>
      <w:r>
        <w:t xml:space="preserve"> tegen uiterlijk 15 februari;</w:t>
      </w:r>
    </w:p>
    <w:p w14:paraId="7D5B3A33" w14:textId="77777777" w:rsidR="00F95129" w:rsidRDefault="00F95129" w:rsidP="009F68BE">
      <w:pPr>
        <w:pStyle w:val="Lijstalinea"/>
        <w:numPr>
          <w:ilvl w:val="2"/>
          <w:numId w:val="3"/>
        </w:numPr>
        <w:ind w:left="1080"/>
        <w:jc w:val="both"/>
      </w:pPr>
      <w:r>
        <w:t>Mogen tot max. 20% van de capaciteit voorbehouden voor een of meer ‘</w:t>
      </w:r>
      <w:r w:rsidRPr="00715D64">
        <w:rPr>
          <w:b/>
          <w:bCs/>
        </w:rPr>
        <w:t>ondervertegenwoordigde groepen</w:t>
      </w:r>
      <w:r>
        <w:t>’ (volgens objectieve criteria en ten opzichte van een referentiegroep);</w:t>
      </w:r>
    </w:p>
    <w:p w14:paraId="2FD4BCCD" w14:textId="77777777" w:rsidR="00F95129" w:rsidRDefault="00F95129" w:rsidP="009F68BE">
      <w:pPr>
        <w:pStyle w:val="Lijstalinea"/>
        <w:numPr>
          <w:ilvl w:val="2"/>
          <w:numId w:val="3"/>
        </w:numPr>
        <w:ind w:left="1080"/>
        <w:jc w:val="both"/>
      </w:pPr>
      <w:r>
        <w:t xml:space="preserve">Melden de </w:t>
      </w:r>
      <w:r w:rsidRPr="00715D64">
        <w:rPr>
          <w:b/>
          <w:bCs/>
        </w:rPr>
        <w:t>vrije plaatsen</w:t>
      </w:r>
      <w:r>
        <w:t xml:space="preserve"> voor elke deelperiode;</w:t>
      </w:r>
    </w:p>
    <w:p w14:paraId="0F5BCB22" w14:textId="77777777" w:rsidR="00F95129" w:rsidRDefault="00F95129" w:rsidP="009F68BE">
      <w:pPr>
        <w:pStyle w:val="Lijstalinea"/>
        <w:numPr>
          <w:ilvl w:val="2"/>
          <w:numId w:val="3"/>
        </w:numPr>
        <w:ind w:left="1080"/>
        <w:jc w:val="both"/>
      </w:pPr>
      <w:r>
        <w:t xml:space="preserve">Dienen voor de goedkeuring alleen nog een meerderheid van </w:t>
      </w:r>
      <w:r w:rsidRPr="00715D64">
        <w:rPr>
          <w:b/>
          <w:bCs/>
        </w:rPr>
        <w:t>onderwijspartners</w:t>
      </w:r>
      <w:r>
        <w:t xml:space="preserve"> te hebben in het LOP;</w:t>
      </w:r>
    </w:p>
    <w:p w14:paraId="4F8C95D7" w14:textId="77777777" w:rsidR="00F95129" w:rsidRDefault="00F95129" w:rsidP="009F68BE">
      <w:pPr>
        <w:pStyle w:val="Lijstalinea"/>
        <w:numPr>
          <w:ilvl w:val="2"/>
          <w:numId w:val="3"/>
        </w:numPr>
        <w:ind w:left="1080"/>
        <w:jc w:val="both"/>
      </w:pPr>
      <w:r>
        <w:t>Voorzien een ‘</w:t>
      </w:r>
      <w:r w:rsidRPr="00715D64">
        <w:rPr>
          <w:b/>
          <w:bCs/>
        </w:rPr>
        <w:t>ombudsdienst’</w:t>
      </w:r>
      <w:r>
        <w:t xml:space="preserve"> die zich buigt over eventuele technische fouten, vergissingen of uitzonderlijke situatie; </w:t>
      </w:r>
    </w:p>
    <w:p w14:paraId="5F5D45AD" w14:textId="77777777" w:rsidR="00F95129" w:rsidRDefault="00F95129" w:rsidP="009F68BE">
      <w:pPr>
        <w:pStyle w:val="Lijstalinea"/>
        <w:numPr>
          <w:ilvl w:val="2"/>
          <w:numId w:val="3"/>
        </w:numPr>
        <w:ind w:left="1080"/>
        <w:jc w:val="both"/>
      </w:pPr>
      <w:r>
        <w:t xml:space="preserve">Kunnen desgewenst volgende </w:t>
      </w:r>
      <w:r w:rsidRPr="00715D64">
        <w:rPr>
          <w:b/>
          <w:bCs/>
        </w:rPr>
        <w:t>overcapaciteitsgroepen</w:t>
      </w:r>
      <w:r>
        <w:t xml:space="preserve"> inschrijven zonder hun capaciteit te verhogen: </w:t>
      </w:r>
    </w:p>
    <w:p w14:paraId="1846DF42" w14:textId="77777777" w:rsidR="00F95129" w:rsidRDefault="00F95129" w:rsidP="009F68BE">
      <w:pPr>
        <w:pStyle w:val="Lijstalinea"/>
        <w:numPr>
          <w:ilvl w:val="3"/>
          <w:numId w:val="4"/>
        </w:numPr>
        <w:ind w:left="1800"/>
        <w:jc w:val="both"/>
      </w:pPr>
      <w:r>
        <w:t xml:space="preserve">anderstalige nieuwkomers (zonder leeftijdsvoorwaarde), </w:t>
      </w:r>
    </w:p>
    <w:p w14:paraId="71EF9F8B" w14:textId="77777777" w:rsidR="00F95129" w:rsidRDefault="00F95129" w:rsidP="009F68BE">
      <w:pPr>
        <w:pStyle w:val="Lijstalinea"/>
        <w:numPr>
          <w:ilvl w:val="3"/>
          <w:numId w:val="4"/>
        </w:numPr>
        <w:ind w:left="1800"/>
        <w:jc w:val="both"/>
      </w:pPr>
      <w:r>
        <w:t xml:space="preserve">kinderen die in een toegewezen verblijf zitten via een beslissing van jeugdhulp, </w:t>
      </w:r>
    </w:p>
    <w:p w14:paraId="10C89D06" w14:textId="77777777" w:rsidR="00F95129" w:rsidRDefault="00F95129" w:rsidP="009F68BE">
      <w:pPr>
        <w:pStyle w:val="Lijstalinea"/>
        <w:numPr>
          <w:ilvl w:val="3"/>
          <w:numId w:val="4"/>
        </w:numPr>
        <w:ind w:left="1800"/>
        <w:jc w:val="both"/>
      </w:pPr>
      <w:r>
        <w:t xml:space="preserve">(semi-)internen, </w:t>
      </w:r>
    </w:p>
    <w:p w14:paraId="7B3C96AA" w14:textId="77777777" w:rsidR="00F95129" w:rsidRDefault="00F95129" w:rsidP="009F68BE">
      <w:pPr>
        <w:pStyle w:val="Lijstalinea"/>
        <w:numPr>
          <w:ilvl w:val="3"/>
          <w:numId w:val="4"/>
        </w:numPr>
        <w:ind w:left="1800"/>
        <w:jc w:val="both"/>
      </w:pPr>
      <w:r>
        <w:t>kinderen in residentiële opvang, adoptie, verslag, verhuizers, beslissing ombudsdienst/CLR)</w:t>
      </w:r>
    </w:p>
    <w:p w14:paraId="5E6CED65" w14:textId="77777777" w:rsidR="00F95129" w:rsidRDefault="00F95129" w:rsidP="009F68BE">
      <w:pPr>
        <w:pStyle w:val="Lijstalinea"/>
        <w:numPr>
          <w:ilvl w:val="3"/>
          <w:numId w:val="4"/>
        </w:numPr>
        <w:ind w:left="1800"/>
        <w:jc w:val="both"/>
      </w:pPr>
      <w:r>
        <w:t>adoptiekinderen</w:t>
      </w:r>
    </w:p>
    <w:p w14:paraId="13DC1C6D" w14:textId="77777777" w:rsidR="00F95129" w:rsidRDefault="00F95129" w:rsidP="009F68BE">
      <w:pPr>
        <w:pStyle w:val="Lijstalinea"/>
        <w:numPr>
          <w:ilvl w:val="3"/>
          <w:numId w:val="4"/>
        </w:numPr>
        <w:ind w:left="1800"/>
        <w:jc w:val="both"/>
      </w:pPr>
      <w:r>
        <w:t>leerlingen die beschikken over een verslag</w:t>
      </w:r>
    </w:p>
    <w:p w14:paraId="7E3B482D" w14:textId="77777777" w:rsidR="00F95129" w:rsidRDefault="00F95129" w:rsidP="009F68BE">
      <w:pPr>
        <w:pStyle w:val="Lijstalinea"/>
        <w:numPr>
          <w:ilvl w:val="3"/>
          <w:numId w:val="4"/>
        </w:numPr>
        <w:ind w:left="1800"/>
        <w:jc w:val="both"/>
      </w:pPr>
      <w:r>
        <w:t>leerlingen die verblijven in een CKG</w:t>
      </w:r>
    </w:p>
    <w:p w14:paraId="434CEA99" w14:textId="77777777" w:rsidR="00F95129" w:rsidRDefault="00F95129" w:rsidP="009F68BE">
      <w:pPr>
        <w:pStyle w:val="Lijstalinea"/>
        <w:numPr>
          <w:ilvl w:val="3"/>
          <w:numId w:val="4"/>
        </w:numPr>
        <w:ind w:left="1800"/>
        <w:jc w:val="both"/>
      </w:pPr>
      <w:r>
        <w:t>kinderen die behoren tot eenzelfde leefentiteit en willen in schrijven voor eenzelfde leerlingengroep en waarbij slechts voor één plaats is;</w:t>
      </w:r>
    </w:p>
    <w:p w14:paraId="78D0B9FC" w14:textId="77777777" w:rsidR="00F95129" w:rsidRDefault="00F95129" w:rsidP="009F68BE">
      <w:pPr>
        <w:pStyle w:val="Lijstalinea"/>
        <w:numPr>
          <w:ilvl w:val="3"/>
          <w:numId w:val="4"/>
        </w:numPr>
        <w:ind w:left="1800"/>
        <w:jc w:val="both"/>
      </w:pPr>
      <w:r>
        <w:t>kinderen toegewezen na een beslissing van de ombudsdienst;</w:t>
      </w:r>
    </w:p>
    <w:p w14:paraId="7A7BE08B" w14:textId="77777777" w:rsidR="00F95129" w:rsidRDefault="00F95129" w:rsidP="009F68BE">
      <w:pPr>
        <w:pStyle w:val="Lijstalinea"/>
        <w:numPr>
          <w:ilvl w:val="3"/>
          <w:numId w:val="4"/>
        </w:numPr>
        <w:ind w:left="1800"/>
        <w:jc w:val="both"/>
      </w:pPr>
      <w:r>
        <w:t>kinderen van gezinnen die verhuizen vanuit een andere gemeente.</w:t>
      </w:r>
    </w:p>
    <w:p w14:paraId="7D623931" w14:textId="77777777" w:rsidR="00F95129" w:rsidRDefault="00F95129" w:rsidP="009F68BE">
      <w:pPr>
        <w:pStyle w:val="Lijstalinea"/>
        <w:numPr>
          <w:ilvl w:val="2"/>
          <w:numId w:val="4"/>
        </w:numPr>
        <w:ind w:left="1080"/>
        <w:jc w:val="both"/>
      </w:pPr>
      <w:r>
        <w:t xml:space="preserve">Moeten indien nodig overcapaciteit aanbieden aan leerlingen die </w:t>
      </w:r>
      <w:r w:rsidRPr="001166A0">
        <w:rPr>
          <w:b/>
          <w:bCs/>
        </w:rPr>
        <w:t>terugkeren uit het buitengewoon onderwijs</w:t>
      </w:r>
      <w:r>
        <w:t>.</w:t>
      </w:r>
    </w:p>
    <w:p w14:paraId="3C390104" w14:textId="77777777" w:rsidR="00F95129" w:rsidRDefault="00F95129" w:rsidP="009F68BE">
      <w:pPr>
        <w:pStyle w:val="Lijstalinea"/>
        <w:numPr>
          <w:ilvl w:val="1"/>
          <w:numId w:val="3"/>
        </w:numPr>
        <w:ind w:left="360"/>
        <w:jc w:val="both"/>
      </w:pPr>
      <w:r w:rsidRPr="00715D64">
        <w:rPr>
          <w:u w:val="single"/>
        </w:rPr>
        <w:t>Zowel voor scholen die aanmelden als niet aanmelden, veranderen ook nog de twee volgende zaken</w:t>
      </w:r>
      <w:r>
        <w:t>:</w:t>
      </w:r>
    </w:p>
    <w:p w14:paraId="71E8C5CD" w14:textId="77777777" w:rsidR="00F95129" w:rsidRDefault="00F95129" w:rsidP="009F68BE">
      <w:pPr>
        <w:pStyle w:val="Lijstalinea"/>
        <w:numPr>
          <w:ilvl w:val="2"/>
          <w:numId w:val="3"/>
        </w:numPr>
        <w:ind w:left="1080"/>
        <w:jc w:val="both"/>
      </w:pPr>
      <w:r>
        <w:t xml:space="preserve">Nieuwe inschrijvingen worden </w:t>
      </w:r>
      <w:r w:rsidRPr="00715D64">
        <w:rPr>
          <w:b/>
          <w:bCs/>
        </w:rPr>
        <w:t xml:space="preserve">geregistreerd in DISCIMUS </w:t>
      </w:r>
      <w:r>
        <w:t>binnen de 7 kalenderdagen. Een</w:t>
      </w:r>
      <w:r w:rsidRPr="004B5CB2">
        <w:rPr>
          <w:sz w:val="20"/>
          <w:szCs w:val="20"/>
        </w:rPr>
        <w:t xml:space="preserve"> recentere inschrijving </w:t>
      </w:r>
      <w:r w:rsidRPr="00715D64">
        <w:rPr>
          <w:b/>
          <w:bCs/>
          <w:sz w:val="20"/>
          <w:szCs w:val="20"/>
        </w:rPr>
        <w:t>beëindigt</w:t>
      </w:r>
      <w:r w:rsidRPr="004B5CB2">
        <w:rPr>
          <w:sz w:val="20"/>
          <w:szCs w:val="20"/>
        </w:rPr>
        <w:t xml:space="preserve"> een eerdere inschrijving van rechtswege</w:t>
      </w:r>
      <w:r>
        <w:rPr>
          <w:sz w:val="20"/>
          <w:szCs w:val="20"/>
        </w:rPr>
        <w:t>.</w:t>
      </w:r>
    </w:p>
    <w:p w14:paraId="09F93107" w14:textId="77777777" w:rsidR="00F95129" w:rsidRDefault="00F95129" w:rsidP="009F68BE">
      <w:pPr>
        <w:pStyle w:val="Lijstalinea"/>
        <w:numPr>
          <w:ilvl w:val="2"/>
          <w:numId w:val="3"/>
        </w:numPr>
        <w:ind w:left="1080"/>
        <w:jc w:val="both"/>
      </w:pPr>
      <w:r>
        <w:t xml:space="preserve">Voor </w:t>
      </w:r>
      <w:r w:rsidRPr="00715D64">
        <w:rPr>
          <w:b/>
          <w:bCs/>
        </w:rPr>
        <w:t>anderstalige nieuwkomers</w:t>
      </w:r>
      <w:r>
        <w:t xml:space="preserve"> moet geen aparte capaciteit meer bepaalde worden, maar gelden automatische de huidige normen:</w:t>
      </w:r>
    </w:p>
    <w:p w14:paraId="37DA8E38" w14:textId="77777777" w:rsidR="00F95129" w:rsidRDefault="00F95129" w:rsidP="009F68BE">
      <w:pPr>
        <w:pStyle w:val="Lijstalinea"/>
        <w:numPr>
          <w:ilvl w:val="3"/>
          <w:numId w:val="3"/>
        </w:numPr>
        <w:ind w:left="1800"/>
        <w:jc w:val="both"/>
      </w:pPr>
      <w:r>
        <w:t>Vestigingen tot en met 100 leerlingen mogen AN weigeren vanaf de 5</w:t>
      </w:r>
      <w:r w:rsidRPr="00F04D2A">
        <w:rPr>
          <w:vertAlign w:val="superscript"/>
        </w:rPr>
        <w:t>de</w:t>
      </w:r>
      <w:r>
        <w:t xml:space="preserve"> AN</w:t>
      </w:r>
    </w:p>
    <w:p w14:paraId="568EC86B" w14:textId="77777777" w:rsidR="00F95129" w:rsidRDefault="00F95129" w:rsidP="009F68BE">
      <w:pPr>
        <w:pStyle w:val="Lijstalinea"/>
        <w:numPr>
          <w:ilvl w:val="3"/>
          <w:numId w:val="3"/>
        </w:numPr>
        <w:ind w:left="1800"/>
        <w:jc w:val="both"/>
      </w:pPr>
      <w:r>
        <w:t>Vestigingen met meer dan 100 leerlingen mogen AN weigeren vanaf de 9</w:t>
      </w:r>
      <w:r w:rsidRPr="00F04D2A">
        <w:rPr>
          <w:vertAlign w:val="superscript"/>
        </w:rPr>
        <w:t>de</w:t>
      </w:r>
      <w:r>
        <w:t xml:space="preserve"> AN</w:t>
      </w:r>
    </w:p>
    <w:p w14:paraId="3EAB950D" w14:textId="77777777" w:rsidR="00F95129" w:rsidRDefault="00F95129" w:rsidP="009F68BE">
      <w:pPr>
        <w:pStyle w:val="Lijstalinea"/>
        <w:numPr>
          <w:ilvl w:val="3"/>
          <w:numId w:val="3"/>
        </w:numPr>
        <w:ind w:left="1800"/>
        <w:jc w:val="both"/>
      </w:pPr>
      <w:r>
        <w:t>Dit allebei op voorwaarde dat aan andere plaats gegearandeerd kan worden voor de AN binnen redelijke afstand en rekening houdend met de vrije keuze van de ouders.</w:t>
      </w:r>
    </w:p>
    <w:p w14:paraId="507945EB" w14:textId="5099092A" w:rsidR="006D39FF" w:rsidRDefault="006D39FF" w:rsidP="009F68BE">
      <w:pPr>
        <w:ind w:left="360"/>
        <w:jc w:val="both"/>
      </w:pPr>
    </w:p>
    <w:p w14:paraId="1A017C4F" w14:textId="77777777" w:rsidR="00EA6901" w:rsidRPr="006D39FF" w:rsidRDefault="00EA6901" w:rsidP="009F68BE">
      <w:pPr>
        <w:ind w:left="360"/>
        <w:jc w:val="both"/>
      </w:pPr>
    </w:p>
    <w:p w14:paraId="12CE1D2B" w14:textId="76D7EE72" w:rsidR="008A1F97" w:rsidRPr="007B6D21" w:rsidRDefault="007B6D21" w:rsidP="009F68BE">
      <w:pPr>
        <w:jc w:val="both"/>
        <w:rPr>
          <w:i/>
          <w:iCs/>
        </w:rPr>
      </w:pPr>
      <w:r w:rsidRPr="007B6D21">
        <w:rPr>
          <w:i/>
          <w:iCs/>
        </w:rPr>
        <w:t>Bespreking</w:t>
      </w:r>
    </w:p>
    <w:p w14:paraId="5CC62F79" w14:textId="27C45304" w:rsidR="008A1F97" w:rsidRDefault="000622E2" w:rsidP="009F68BE">
      <w:pPr>
        <w:pStyle w:val="Lijstalinea"/>
        <w:numPr>
          <w:ilvl w:val="0"/>
          <w:numId w:val="12"/>
        </w:numPr>
        <w:jc w:val="both"/>
      </w:pPr>
      <w:r w:rsidRPr="000622E2">
        <w:lastRenderedPageBreak/>
        <w:t xml:space="preserve">De meeste </w:t>
      </w:r>
      <w:r w:rsidR="00562FE7">
        <w:t>bepalingen rond aanmelden</w:t>
      </w:r>
      <w:r w:rsidRPr="000622E2">
        <w:t xml:space="preserve"> zijn zeer gelijklopend met wat we in Ronse basis reeds een 10-tal jaren doen. Ook de tijdlijn komt zeer goed overeen met onze gewoonlijke tijdlijn, waarin maart de ‘aanmeldingsmaand’ is.</w:t>
      </w:r>
    </w:p>
    <w:p w14:paraId="7A76CAD7" w14:textId="09848C08" w:rsidR="000622E2" w:rsidRDefault="00562FE7" w:rsidP="009F68BE">
      <w:pPr>
        <w:pStyle w:val="Lijstalinea"/>
        <w:numPr>
          <w:ilvl w:val="0"/>
          <w:numId w:val="12"/>
        </w:numPr>
        <w:jc w:val="both"/>
      </w:pPr>
      <w:r>
        <w:t>De belangrijkste vraag die we ons moeten stellen is wat we willen doen met de mogelijke voorrang voor ‘ondervertegenwoordigde groepen’</w:t>
      </w:r>
      <w:r w:rsidR="00FA356E">
        <w:t xml:space="preserve"> (OVG)</w:t>
      </w:r>
      <w:r>
        <w:t xml:space="preserve">. </w:t>
      </w:r>
      <w:r w:rsidR="00D17790">
        <w:t>Hier stellen zich verschillende mogelijke vragen</w:t>
      </w:r>
      <w:r>
        <w:t>:</w:t>
      </w:r>
    </w:p>
    <w:p w14:paraId="317D08F7" w14:textId="77777777" w:rsidR="00D17790" w:rsidRDefault="00FA356E" w:rsidP="009F68BE">
      <w:pPr>
        <w:pStyle w:val="Lijstalinea"/>
        <w:numPr>
          <w:ilvl w:val="1"/>
          <w:numId w:val="12"/>
        </w:numPr>
        <w:jc w:val="both"/>
      </w:pPr>
      <w:r>
        <w:t xml:space="preserve">Kiest elke school voor zich of streven we naar een gezamenlijk voorstel? </w:t>
      </w:r>
    </w:p>
    <w:p w14:paraId="6E8DB696" w14:textId="24CDB59D" w:rsidR="00D17790" w:rsidRDefault="00D17790" w:rsidP="009F68BE">
      <w:pPr>
        <w:pStyle w:val="Lijstalinea"/>
        <w:numPr>
          <w:ilvl w:val="1"/>
          <w:numId w:val="12"/>
        </w:numPr>
        <w:jc w:val="both"/>
      </w:pPr>
      <w:r>
        <w:t>Kiezen we voor 1 OVG en gaan we voor de maximale 20%, of kiezen we voor meerdere OVG, waarbij de 20% opgedeeld wordt?</w:t>
      </w:r>
    </w:p>
    <w:p w14:paraId="02BCFF43" w14:textId="23983EBD" w:rsidR="00D17790" w:rsidRDefault="00D17790" w:rsidP="009F68BE">
      <w:pPr>
        <w:pStyle w:val="Lijstalinea"/>
        <w:numPr>
          <w:ilvl w:val="1"/>
          <w:numId w:val="12"/>
        </w:numPr>
        <w:jc w:val="both"/>
      </w:pPr>
      <w:r>
        <w:t>Over welke OVG zou het dan gaan? Het moet over een kenmerk gaan dat objectief aangetoond kan worden</w:t>
      </w:r>
      <w:r w:rsidR="00AE0A65">
        <w:t>. Zijn die data publiek beschikbaar, zowel wat betreft de referentiegroep als de situatie op school? Mogen die data eventueel opgevraagd worden; strookt dit met de pirvacywetgeving…?</w:t>
      </w:r>
    </w:p>
    <w:p w14:paraId="22AB8CAA" w14:textId="66859040" w:rsidR="00AE0A65" w:rsidRDefault="00AE0A65" w:rsidP="009F68BE">
      <w:pPr>
        <w:ind w:left="360"/>
        <w:jc w:val="both"/>
      </w:pPr>
      <w:r>
        <w:t>Het is duidelijk dat dit een zeer complex verhaal kan worden. Er zijn verschillende redenen om het niet te ingewikkeld te maken:</w:t>
      </w:r>
    </w:p>
    <w:p w14:paraId="2CFBE80E" w14:textId="03B2A345" w:rsidR="00AE0A65" w:rsidRDefault="00AE0A65" w:rsidP="009F68BE">
      <w:pPr>
        <w:pStyle w:val="Lijstalinea"/>
        <w:numPr>
          <w:ilvl w:val="0"/>
          <w:numId w:val="13"/>
        </w:numPr>
        <w:jc w:val="both"/>
      </w:pPr>
      <w:r>
        <w:t>Voor de communicatie naar ouders geldt dat hoe complexer het systeem, hoe moeilijker het uit te leggen valt.</w:t>
      </w:r>
    </w:p>
    <w:p w14:paraId="177CDE87" w14:textId="772E43C9" w:rsidR="00AE0A65" w:rsidRDefault="00AE0A65" w:rsidP="009F68BE">
      <w:pPr>
        <w:pStyle w:val="Lijstalinea"/>
        <w:numPr>
          <w:ilvl w:val="0"/>
          <w:numId w:val="13"/>
        </w:numPr>
        <w:jc w:val="both"/>
      </w:pPr>
      <w:r>
        <w:t>Voor scholen kan het veel werk betekenen om een eigen onderzoek te voeren en de voorrang jaarlijks administratief toe te passen (berekening vrije plaatsen).</w:t>
      </w:r>
    </w:p>
    <w:p w14:paraId="63BA1936" w14:textId="57979839" w:rsidR="002F7EC5" w:rsidRDefault="00B25E36" w:rsidP="009F68BE">
      <w:pPr>
        <w:pStyle w:val="Lijstalinea"/>
        <w:numPr>
          <w:ilvl w:val="0"/>
          <w:numId w:val="13"/>
        </w:numPr>
        <w:jc w:val="both"/>
      </w:pPr>
      <w:r>
        <w:t>Deze</w:t>
      </w:r>
      <w:r w:rsidR="002F7EC5">
        <w:t xml:space="preserve"> </w:t>
      </w:r>
      <w:r>
        <w:t>zaken gelden</w:t>
      </w:r>
      <w:r w:rsidR="002F7EC5">
        <w:t xml:space="preserve"> des te meer indien de efficiëntie gering is</w:t>
      </w:r>
      <w:r>
        <w:t xml:space="preserve">. </w:t>
      </w:r>
      <w:r w:rsidR="002F7EC5">
        <w:t xml:space="preserve">Het mechanisme werkt </w:t>
      </w:r>
      <w:r>
        <w:t xml:space="preserve">immers </w:t>
      </w:r>
      <w:r w:rsidR="002F7EC5">
        <w:t>alleen voor die vestigingsplaatsen waar plaatstekort is</w:t>
      </w:r>
      <w:r w:rsidR="00DA04C3">
        <w:t>, én in die mate dat de OVT ook effectief kiest voor die school</w:t>
      </w:r>
      <w:r w:rsidR="002F7EC5">
        <w:t>. In Ronse Basis gaat het dan uitsluitend over de kleinere methodescholen en wijkscholen, en betreft het niet altijd het jongste peuterjaar. De eventuele ‘herverdeling’ gaat dus jaarlijks over enkelingen.</w:t>
      </w:r>
    </w:p>
    <w:p w14:paraId="322025B7" w14:textId="77777777" w:rsidR="00C52D3B" w:rsidRDefault="00C52D3B" w:rsidP="009F68BE">
      <w:pPr>
        <w:pStyle w:val="Lijstalinea"/>
        <w:ind w:left="1080"/>
        <w:jc w:val="both"/>
      </w:pPr>
    </w:p>
    <w:p w14:paraId="63D4F062" w14:textId="7248AB1F" w:rsidR="00B25E36" w:rsidRDefault="00B25E36" w:rsidP="009F68BE">
      <w:pPr>
        <w:ind w:left="360"/>
        <w:jc w:val="both"/>
      </w:pPr>
      <w:r>
        <w:t xml:space="preserve">Indien we zouden kiezen voor een gezamenlijke OVG, dan zouden we bv. kunnen kiezen voor een voortzetting van </w:t>
      </w:r>
      <w:r w:rsidR="00DA04C3">
        <w:t xml:space="preserve">het principe van sociale mix. Het voordeel is dat deze data gekend zijn (schooltoelage, diploma, thuistaal) en het betekent ook continuïteit met de voorgaande jaren. </w:t>
      </w:r>
      <w:r w:rsidR="008A7AB3">
        <w:t xml:space="preserve">Bovenstaande opmerkingen blijven wel gelden. </w:t>
      </w:r>
      <w:r w:rsidR="00C52D3B">
        <w:t>Om een idee te geven van de efficiëntie van het mechanisme van de dubbele contingentering, zie</w:t>
      </w:r>
      <w:r w:rsidR="0085790C">
        <w:t xml:space="preserve"> hieronder</w:t>
      </w:r>
      <w:r w:rsidR="00C52D3B">
        <w:t xml:space="preserve"> de evolutie van de data relatieve aanwezigheid indicatorleerlingen per </w:t>
      </w:r>
      <w:r w:rsidR="009443CB">
        <w:t>vestigingsplaats</w:t>
      </w:r>
      <w:r w:rsidR="00C52D3B">
        <w:t xml:space="preserve"> </w:t>
      </w:r>
      <w:r w:rsidR="0085790C">
        <w:t>van 2013-2014 tot 2018-2019</w:t>
      </w:r>
      <w:r w:rsidR="00C52D3B">
        <w:t>.</w:t>
      </w:r>
      <w:r w:rsidR="0085790C">
        <w:t xml:space="preserve"> Na 2019 veranderen </w:t>
      </w:r>
      <w:r w:rsidR="00E24E3D">
        <w:t xml:space="preserve">de instellingsnummers dermate (door de fusie tussen </w:t>
      </w:r>
      <w:r w:rsidR="009262D3">
        <w:t xml:space="preserve">basisscholen </w:t>
      </w:r>
      <w:r w:rsidR="00E24E3D">
        <w:t>Glorieux en Sancta Maria) dat een vergelijking niet meer te trekken valt</w:t>
      </w:r>
      <w:r w:rsidR="009262D3">
        <w:t>, en is er ook een vertekening van het beeld door de automatische toekenning van de schooltoeslag.</w:t>
      </w:r>
    </w:p>
    <w:p w14:paraId="52ED3D9A" w14:textId="72612624" w:rsidR="0085790C" w:rsidRDefault="0085790C" w:rsidP="009F68BE">
      <w:pPr>
        <w:ind w:left="360"/>
        <w:jc w:val="both"/>
      </w:pPr>
    </w:p>
    <w:p w14:paraId="43A9CEF7" w14:textId="21E99A56" w:rsidR="0085790C" w:rsidRDefault="0085790C" w:rsidP="009F68BE">
      <w:pPr>
        <w:ind w:left="360"/>
        <w:jc w:val="both"/>
      </w:pPr>
      <w:r>
        <w:rPr>
          <w:noProof/>
        </w:rPr>
        <w:lastRenderedPageBreak/>
        <w:drawing>
          <wp:inline distT="0" distB="0" distL="0" distR="0" wp14:anchorId="19D2A3EC" wp14:editId="75D1F782">
            <wp:extent cx="5767754" cy="3036277"/>
            <wp:effectExtent l="0" t="0" r="4445" b="12065"/>
            <wp:docPr id="1" name="Grafiek 1">
              <a:extLst xmlns:a="http://schemas.openxmlformats.org/drawingml/2006/main">
                <a:ext uri="{FF2B5EF4-FFF2-40B4-BE49-F238E27FC236}">
                  <a16:creationId xmlns:a16="http://schemas.microsoft.com/office/drawing/2014/main" id="{E67AFF66-4BE5-4100-B1AC-F82F79F90B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2CB5E07" w14:textId="44A733D3" w:rsidR="00D17790" w:rsidRDefault="00D17790" w:rsidP="009F68BE">
      <w:pPr>
        <w:jc w:val="both"/>
      </w:pPr>
    </w:p>
    <w:p w14:paraId="79E2AC7C" w14:textId="5B1D9240" w:rsidR="004137B0" w:rsidRPr="008A0379" w:rsidRDefault="004137B0" w:rsidP="009F68BE">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Pr>
          <w:b/>
          <w:bCs/>
        </w:rPr>
        <w:t>Stand van zaken vluchtelingen Oekraïne</w:t>
      </w:r>
    </w:p>
    <w:p w14:paraId="5D7C0542" w14:textId="531CE5D9" w:rsidR="004137B0" w:rsidRDefault="004137B0" w:rsidP="009F68BE">
      <w:pPr>
        <w:jc w:val="both"/>
      </w:pPr>
    </w:p>
    <w:p w14:paraId="16AA967E" w14:textId="7B05E3C6" w:rsidR="00400A76" w:rsidRDefault="00400A76" w:rsidP="009F68BE">
      <w:pPr>
        <w:pStyle w:val="Lijstalinea"/>
        <w:numPr>
          <w:ilvl w:val="0"/>
          <w:numId w:val="15"/>
        </w:numPr>
        <w:jc w:val="both"/>
      </w:pPr>
      <w:r>
        <w:t>Vanuit de stad ontvingen we tot nog toe geen stand van zaken rond de vluchtelingenkwestie Oekraïne. Er zou een coördinator aangesteld worden.</w:t>
      </w:r>
    </w:p>
    <w:p w14:paraId="498B2B38" w14:textId="55F5F851" w:rsidR="00400A76" w:rsidRDefault="00400A76" w:rsidP="009F68BE">
      <w:pPr>
        <w:pStyle w:val="Lijstalinea"/>
        <w:numPr>
          <w:ilvl w:val="0"/>
          <w:numId w:val="15"/>
        </w:numPr>
        <w:jc w:val="both"/>
      </w:pPr>
      <w:r>
        <w:t>In het gewoon basisonderwijs is nog maar één kind uit Oekraïne ingeschreven. Voorlopig is er dus weinig urgentie.</w:t>
      </w:r>
    </w:p>
    <w:p w14:paraId="7BE48EE2" w14:textId="77777777" w:rsidR="009D0957" w:rsidRDefault="00D01BCA" w:rsidP="009F68BE">
      <w:pPr>
        <w:pStyle w:val="Lijstalinea"/>
        <w:numPr>
          <w:ilvl w:val="0"/>
          <w:numId w:val="15"/>
        </w:numPr>
        <w:jc w:val="both"/>
      </w:pPr>
      <w:r>
        <w:t>Vanuit de Vlaamse overheid wordt een nooddecreet verwacht, dat een juridische basis moet geven aan de overheidsmaatregelen aangekondigd op 14 maart 2022</w:t>
      </w:r>
    </w:p>
    <w:p w14:paraId="58442C44" w14:textId="0A4A80D2" w:rsidR="00D01BCA" w:rsidRDefault="00D01BCA" w:rsidP="009F68BE">
      <w:pPr>
        <w:pStyle w:val="Lijstalinea"/>
        <w:ind w:left="360"/>
        <w:jc w:val="both"/>
      </w:pPr>
      <w:r>
        <w:t>(</w:t>
      </w:r>
      <w:hyperlink r:id="rId6" w:history="1">
        <w:r w:rsidRPr="00115ECE">
          <w:rPr>
            <w:rStyle w:val="Hyperlink"/>
          </w:rPr>
          <w:t>https://onderwijs.vlaanderen.be/nl/oekrainecrisis-extra-maatregelen-in-onderwijs</w:t>
        </w:r>
      </w:hyperlink>
      <w:r>
        <w:t xml:space="preserve"> ).</w:t>
      </w:r>
    </w:p>
    <w:p w14:paraId="34FA2BF2" w14:textId="76EC35F3" w:rsidR="00400A76" w:rsidRDefault="00400A76" w:rsidP="009F68BE">
      <w:pPr>
        <w:pStyle w:val="Lijstalinea"/>
        <w:numPr>
          <w:ilvl w:val="0"/>
          <w:numId w:val="15"/>
        </w:numPr>
        <w:jc w:val="both"/>
      </w:pPr>
      <w:r>
        <w:t xml:space="preserve">Dit kan veranderen na de paasvakantie, omdat steeds meer gezinnen dan via Fedasil toegewezen zullen worden aan gemeenten. </w:t>
      </w:r>
      <w:r w:rsidR="005431A8">
        <w:t xml:space="preserve">Ook is men in elke provincie op zoek naar locaties voor ‘nooddorpen’, waar honderden vluchtelingen gehuisvest zouden zijn. Indien dit in de omgeving van Ronse zou gebeuren, zal het uiteraard nodig zijn om te bekijken hoe het onderwijs voor deze kinderen georganiseerd kan worden. </w:t>
      </w:r>
    </w:p>
    <w:p w14:paraId="4F86FE53" w14:textId="08D79F95" w:rsidR="00D17790" w:rsidRDefault="00D17790" w:rsidP="009F68BE">
      <w:pPr>
        <w:jc w:val="both"/>
      </w:pPr>
    </w:p>
    <w:p w14:paraId="1B7D0C70" w14:textId="38020BC6" w:rsidR="0007479C" w:rsidRPr="008A0379" w:rsidRDefault="0007479C" w:rsidP="009F68BE">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Pr>
          <w:b/>
          <w:bCs/>
        </w:rPr>
        <w:t>Werkgroep huiswerkbeleid</w:t>
      </w:r>
    </w:p>
    <w:p w14:paraId="5311BA0B" w14:textId="673CB08F" w:rsidR="00D17790" w:rsidRDefault="00D17790" w:rsidP="009F68BE">
      <w:pPr>
        <w:jc w:val="both"/>
      </w:pPr>
    </w:p>
    <w:p w14:paraId="1E4E479A" w14:textId="5B68F45D" w:rsidR="009D0957" w:rsidRDefault="009D0957" w:rsidP="009F68BE">
      <w:pPr>
        <w:pStyle w:val="Lijstalinea"/>
        <w:numPr>
          <w:ilvl w:val="0"/>
          <w:numId w:val="15"/>
        </w:numPr>
        <w:jc w:val="both"/>
      </w:pPr>
      <w:r>
        <w:t>Op 17 februari had de werkgroep huiswerkbeleid een gedachtenwisseling rond deze topic.</w:t>
      </w:r>
    </w:p>
    <w:p w14:paraId="64737BC9" w14:textId="6A2DC9E9" w:rsidR="009D0957" w:rsidRDefault="009D0957" w:rsidP="009F68BE">
      <w:pPr>
        <w:pStyle w:val="Lijstalinea"/>
        <w:numPr>
          <w:ilvl w:val="0"/>
          <w:numId w:val="15"/>
        </w:numPr>
        <w:jc w:val="both"/>
      </w:pPr>
      <w:r>
        <w:t>Diverse suggesties kwamen aan bod voor een goede werking:</w:t>
      </w:r>
    </w:p>
    <w:p w14:paraId="4EBF254E" w14:textId="77777777" w:rsidR="009D0957" w:rsidRPr="00241869" w:rsidRDefault="009D0957" w:rsidP="009F68BE">
      <w:pPr>
        <w:pStyle w:val="Lijstalinea"/>
        <w:numPr>
          <w:ilvl w:val="1"/>
          <w:numId w:val="15"/>
        </w:numPr>
        <w:spacing w:line="252" w:lineRule="auto"/>
        <w:jc w:val="both"/>
      </w:pPr>
      <w:r>
        <w:t xml:space="preserve">Aanleveren van bijkomend bronmateriaal, bv. de reeks rond huiswerk van </w:t>
      </w:r>
      <w:r>
        <w:rPr>
          <w:i/>
          <w:iCs/>
        </w:rPr>
        <w:t>Klasse.</w:t>
      </w:r>
    </w:p>
    <w:p w14:paraId="1606F748" w14:textId="77777777" w:rsidR="009D0957" w:rsidRDefault="009D0957" w:rsidP="009F68BE">
      <w:pPr>
        <w:pStyle w:val="Lijstalinea"/>
        <w:numPr>
          <w:ilvl w:val="1"/>
          <w:numId w:val="15"/>
        </w:numPr>
        <w:spacing w:line="252" w:lineRule="auto"/>
        <w:jc w:val="both"/>
      </w:pPr>
      <w:r>
        <w:t>Verzamelen van goede tools, bv. leerplatformen die onmiddellijke feedback bieden, zoals Kabas.</w:t>
      </w:r>
    </w:p>
    <w:p w14:paraId="2A0579E5" w14:textId="77777777" w:rsidR="009D0957" w:rsidRDefault="009D0957" w:rsidP="009F68BE">
      <w:pPr>
        <w:pStyle w:val="Lijstalinea"/>
        <w:numPr>
          <w:ilvl w:val="1"/>
          <w:numId w:val="15"/>
        </w:numPr>
        <w:spacing w:line="252" w:lineRule="auto"/>
        <w:jc w:val="both"/>
      </w:pPr>
      <w:r>
        <w:t>Verzamelen en uitwisselen van goede tips. Voorbeelden:</w:t>
      </w:r>
    </w:p>
    <w:p w14:paraId="2F2200F0" w14:textId="77777777" w:rsidR="009D0957" w:rsidRDefault="009D0957" w:rsidP="009F68BE">
      <w:pPr>
        <w:pStyle w:val="Lijstalinea"/>
        <w:numPr>
          <w:ilvl w:val="2"/>
          <w:numId w:val="15"/>
        </w:numPr>
        <w:spacing w:line="252" w:lineRule="auto"/>
        <w:jc w:val="both"/>
      </w:pPr>
      <w:r>
        <w:t>Hoe voorkomen/te weten komen dat ouders een hand in het huiswerk hebben? Hoe een open en eerlijke communicatie bevorderen?</w:t>
      </w:r>
    </w:p>
    <w:p w14:paraId="468ABA40" w14:textId="77777777" w:rsidR="009D0957" w:rsidRDefault="009D0957" w:rsidP="009F68BE">
      <w:pPr>
        <w:pStyle w:val="Lijstalinea"/>
        <w:numPr>
          <w:ilvl w:val="2"/>
          <w:numId w:val="15"/>
        </w:numPr>
        <w:spacing w:line="252" w:lineRule="auto"/>
        <w:jc w:val="both"/>
      </w:pPr>
      <w:r>
        <w:lastRenderedPageBreak/>
        <w:t>Welke adviezen kunnen we geven aan medewerkers van de BKO die kinderen willen ondersteunen bij hun huiswerk tijdens de BKO?</w:t>
      </w:r>
    </w:p>
    <w:p w14:paraId="5317F287" w14:textId="77777777" w:rsidR="009D0957" w:rsidRDefault="009D0957" w:rsidP="009F68BE">
      <w:pPr>
        <w:pStyle w:val="Lijstalinea"/>
        <w:numPr>
          <w:ilvl w:val="2"/>
          <w:numId w:val="15"/>
        </w:numPr>
        <w:spacing w:line="252" w:lineRule="auto"/>
        <w:jc w:val="both"/>
      </w:pPr>
      <w:r>
        <w:t xml:space="preserve">Hoe helpen we kinderen die niet toegeleid zijn naar SAAMO of Uilenspel, maar die toch wel een duwtje in de rug kunnen gebruiken? </w:t>
      </w:r>
    </w:p>
    <w:p w14:paraId="58C0179B" w14:textId="77777777" w:rsidR="009D0957" w:rsidRDefault="009D0957" w:rsidP="009F68BE">
      <w:pPr>
        <w:pStyle w:val="Lijstalinea"/>
        <w:numPr>
          <w:ilvl w:val="2"/>
          <w:numId w:val="15"/>
        </w:numPr>
        <w:spacing w:line="252" w:lineRule="auto"/>
        <w:jc w:val="both"/>
      </w:pPr>
      <w:r>
        <w:t>Differentiatie in de 3</w:t>
      </w:r>
      <w:r w:rsidRPr="00C43441">
        <w:rPr>
          <w:vertAlign w:val="superscript"/>
        </w:rPr>
        <w:t>de</w:t>
      </w:r>
      <w:r>
        <w:t xml:space="preserve"> graad, vanwege de enorme verschillen hier tussen leerlingen.</w:t>
      </w:r>
    </w:p>
    <w:p w14:paraId="5C568B18" w14:textId="76B3A10B" w:rsidR="009D0957" w:rsidRDefault="009D0957" w:rsidP="009F68BE">
      <w:pPr>
        <w:pStyle w:val="Lijstalinea"/>
        <w:numPr>
          <w:ilvl w:val="1"/>
          <w:numId w:val="15"/>
        </w:numPr>
        <w:spacing w:line="252" w:lineRule="auto"/>
        <w:jc w:val="both"/>
      </w:pPr>
      <w:r>
        <w:t>Bespreken van cases.</w:t>
      </w:r>
    </w:p>
    <w:p w14:paraId="64360D05" w14:textId="2AA068CB" w:rsidR="00EA50E4" w:rsidRDefault="00EA50E4" w:rsidP="00EA50E4">
      <w:pPr>
        <w:pStyle w:val="Lijstalinea"/>
        <w:numPr>
          <w:ilvl w:val="0"/>
          <w:numId w:val="15"/>
        </w:numPr>
        <w:spacing w:line="252" w:lineRule="auto"/>
        <w:jc w:val="both"/>
      </w:pPr>
      <w:r>
        <w:t xml:space="preserve">Eveline preciseert dat er momenteel veel gebeurt op het vlak van naschoolse begeleiding via de werking taalstimulering. Er is begeleiding tijdens de studie </w:t>
      </w:r>
      <w:r w:rsidR="00AC631B">
        <w:t xml:space="preserve">en ondersteuning. Op het vlak van materiële ondersteuning zijn reeds </w:t>
      </w:r>
      <w:r>
        <w:t>300 boeken en 130 educatieve materialen aangekocht</w:t>
      </w:r>
    </w:p>
    <w:p w14:paraId="79A7E1D5" w14:textId="5C1C4D56" w:rsidR="009D0957" w:rsidRDefault="009D0957" w:rsidP="009F68BE">
      <w:pPr>
        <w:pStyle w:val="Lijstalinea"/>
        <w:numPr>
          <w:ilvl w:val="0"/>
          <w:numId w:val="15"/>
        </w:numPr>
        <w:spacing w:line="252" w:lineRule="auto"/>
        <w:jc w:val="both"/>
      </w:pPr>
      <w:r w:rsidRPr="009D0957">
        <w:t xml:space="preserve">We willen echter starten, zoals eerder aangekondigd, met een </w:t>
      </w:r>
      <w:r w:rsidRPr="00EA50E4">
        <w:rPr>
          <w:b/>
          <w:bCs/>
        </w:rPr>
        <w:t>update van de huiswerkcode Ronse</w:t>
      </w:r>
      <w:r w:rsidRPr="009D0957">
        <w:t>.</w:t>
      </w:r>
      <w:r w:rsidR="00E67E3F">
        <w:t xml:space="preserve"> De eerstvolgende bijeenkomst is 25 april om 9u30.</w:t>
      </w:r>
    </w:p>
    <w:p w14:paraId="418C2C8F" w14:textId="18DE85E3" w:rsidR="009D0957" w:rsidRDefault="009D0957" w:rsidP="009F68BE">
      <w:pPr>
        <w:spacing w:line="252" w:lineRule="auto"/>
        <w:jc w:val="both"/>
      </w:pPr>
    </w:p>
    <w:p w14:paraId="7277538B" w14:textId="71ADE676" w:rsidR="00E67E3F" w:rsidRPr="008A0379" w:rsidRDefault="00E67E3F" w:rsidP="009F68BE">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Pr>
          <w:b/>
          <w:bCs/>
        </w:rPr>
        <w:t>Evaluatie studiedag zittenblijven</w:t>
      </w:r>
    </w:p>
    <w:p w14:paraId="40CEB590" w14:textId="2E7C460E" w:rsidR="00E67E3F" w:rsidRDefault="00E67E3F" w:rsidP="009F68BE">
      <w:pPr>
        <w:spacing w:line="252" w:lineRule="auto"/>
        <w:jc w:val="both"/>
      </w:pPr>
    </w:p>
    <w:p w14:paraId="70984486" w14:textId="7947CD69" w:rsidR="00E67E3F" w:rsidRDefault="00BB5066" w:rsidP="009F68BE">
      <w:pPr>
        <w:spacing w:line="252" w:lineRule="auto"/>
        <w:jc w:val="both"/>
      </w:pPr>
      <w:r>
        <w:t>Naast de evaluatie van de studiedag zelf hadden we afgesproken om ook de opvolging binnen de scholen te registreren. SAAMO stuurde daarvoor een formulier in januari al</w:t>
      </w:r>
      <w:r w:rsidR="009F68BE">
        <w:t>,</w:t>
      </w:r>
      <w:r>
        <w:t xml:space="preserve"> maar kreeg nog geen enkel antwoord binnen. Uiteraard waren het de moeilijke omstandigheden waarin scholen de laatste maanden hebben moeten werken, maar </w:t>
      </w:r>
      <w:r w:rsidR="009F68BE">
        <w:t xml:space="preserve">hierbij wordt de oproep herhaald om dit zo snel mogelijk te doen, bv. in de eerste week na de paasvakantie. </w:t>
      </w:r>
      <w:r>
        <w:t xml:space="preserve"> </w:t>
      </w:r>
      <w:r w:rsidR="009F68BE">
        <w:t>De verwerkte resultaten zullen worden gepresenteerd op de Algemene Vergadering van 10 mei.</w:t>
      </w:r>
    </w:p>
    <w:p w14:paraId="54C361EF" w14:textId="0725A237" w:rsidR="009D0957" w:rsidRDefault="009D0957" w:rsidP="009F68BE">
      <w:pPr>
        <w:spacing w:line="252" w:lineRule="auto"/>
        <w:jc w:val="both"/>
      </w:pPr>
    </w:p>
    <w:p w14:paraId="50E27676" w14:textId="7F338649" w:rsidR="001A527D" w:rsidRPr="008A0379" w:rsidRDefault="001A527D" w:rsidP="001A527D">
      <w:pPr>
        <w:pStyle w:val="Lijstalinea"/>
        <w:numPr>
          <w:ilvl w:val="0"/>
          <w:numId w:val="7"/>
        </w:numPr>
        <w:shd w:val="clear" w:color="auto" w:fill="F2F2F2" w:themeFill="background1" w:themeFillShade="F2"/>
        <w:spacing w:line="276" w:lineRule="auto"/>
        <w:ind w:left="0" w:firstLine="0"/>
        <w:jc w:val="both"/>
        <w:rPr>
          <w:rFonts w:cstheme="minorHAnsi"/>
          <w:b/>
          <w:bCs/>
          <w:sz w:val="20"/>
          <w:szCs w:val="20"/>
        </w:rPr>
      </w:pPr>
      <w:r>
        <w:rPr>
          <w:b/>
          <w:bCs/>
        </w:rPr>
        <w:t>Algemen</w:t>
      </w:r>
      <w:r w:rsidR="00EA50E4">
        <w:rPr>
          <w:b/>
          <w:bCs/>
        </w:rPr>
        <w:t>e</w:t>
      </w:r>
      <w:r>
        <w:rPr>
          <w:b/>
          <w:bCs/>
        </w:rPr>
        <w:t xml:space="preserve"> Vergadering</w:t>
      </w:r>
    </w:p>
    <w:p w14:paraId="49CCCD08" w14:textId="66E0ED37" w:rsidR="001A527D" w:rsidRDefault="001A527D" w:rsidP="009F68BE">
      <w:pPr>
        <w:spacing w:line="252" w:lineRule="auto"/>
        <w:jc w:val="both"/>
      </w:pPr>
    </w:p>
    <w:p w14:paraId="5DF93D08" w14:textId="027931A3" w:rsidR="00AC631B" w:rsidRDefault="00AC631B" w:rsidP="009F68BE">
      <w:pPr>
        <w:spacing w:line="252" w:lineRule="auto"/>
        <w:jc w:val="both"/>
      </w:pPr>
      <w:r>
        <w:t>De Algemene Vergadering vindt plaats op 10 mei om 16u in CC De Ververij lokaal 105. Op de agenda staan volgende onderwerpen (onder voorbehoud):</w:t>
      </w:r>
    </w:p>
    <w:p w14:paraId="4D6F2940" w14:textId="0793FFC6" w:rsidR="00AC631B" w:rsidRDefault="00AC631B" w:rsidP="00AC631B">
      <w:pPr>
        <w:pStyle w:val="Lijstalinea"/>
        <w:numPr>
          <w:ilvl w:val="0"/>
          <w:numId w:val="16"/>
        </w:numPr>
        <w:spacing w:line="252" w:lineRule="auto"/>
        <w:jc w:val="both"/>
      </w:pPr>
      <w:r>
        <w:t>Inschrijvingsbeleid – voorbije aanmeldingsprocedure 2022-2023</w:t>
      </w:r>
    </w:p>
    <w:p w14:paraId="6D05788B" w14:textId="4B7D6D4C" w:rsidR="00AC631B" w:rsidRDefault="00AC631B" w:rsidP="00AC631B">
      <w:pPr>
        <w:pStyle w:val="Lijstalinea"/>
        <w:numPr>
          <w:ilvl w:val="0"/>
          <w:numId w:val="16"/>
        </w:numPr>
        <w:spacing w:line="252" w:lineRule="auto"/>
        <w:jc w:val="both"/>
      </w:pPr>
      <w:r>
        <w:t>Inschrijvingsbeleid – komende aanmeldingsprocedure 2023-2024 op basis van het nieuwe inschrijvingsdecreet</w:t>
      </w:r>
    </w:p>
    <w:p w14:paraId="1F209C32" w14:textId="1E57C0A7" w:rsidR="00AC631B" w:rsidRDefault="00AC631B" w:rsidP="00AC631B">
      <w:pPr>
        <w:pStyle w:val="Lijstalinea"/>
        <w:numPr>
          <w:ilvl w:val="0"/>
          <w:numId w:val="16"/>
        </w:numPr>
        <w:spacing w:line="252" w:lineRule="auto"/>
        <w:jc w:val="both"/>
      </w:pPr>
      <w:r>
        <w:t>Evaluatie werking zittenblijven</w:t>
      </w:r>
    </w:p>
    <w:p w14:paraId="27867CEB" w14:textId="54ABF20F" w:rsidR="00AC631B" w:rsidRDefault="00AC631B" w:rsidP="00AC631B">
      <w:pPr>
        <w:pStyle w:val="Lijstalinea"/>
        <w:numPr>
          <w:ilvl w:val="0"/>
          <w:numId w:val="16"/>
        </w:numPr>
        <w:spacing w:line="252" w:lineRule="auto"/>
        <w:jc w:val="both"/>
      </w:pPr>
      <w:r>
        <w:t>Werkgroep huisw</w:t>
      </w:r>
      <w:r w:rsidR="00E00B3F">
        <w:t>er</w:t>
      </w:r>
      <w:r>
        <w:t>kbeleid</w:t>
      </w:r>
    </w:p>
    <w:p w14:paraId="08D7AD9D" w14:textId="56C9FF66" w:rsidR="00AC631B" w:rsidRDefault="00AC631B" w:rsidP="00AC631B">
      <w:pPr>
        <w:pStyle w:val="Lijstalinea"/>
        <w:numPr>
          <w:ilvl w:val="0"/>
          <w:numId w:val="16"/>
        </w:numPr>
        <w:spacing w:line="252" w:lineRule="auto"/>
        <w:jc w:val="both"/>
      </w:pPr>
      <w:r>
        <w:t>Stand van zaken vluchtelingen Oekraïne</w:t>
      </w:r>
    </w:p>
    <w:p w14:paraId="17C14135" w14:textId="069206EB" w:rsidR="009D0957" w:rsidRDefault="009D0957" w:rsidP="009F68BE">
      <w:pPr>
        <w:jc w:val="both"/>
      </w:pPr>
    </w:p>
    <w:sectPr w:rsidR="009D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FBA"/>
    <w:multiLevelType w:val="hybridMultilevel"/>
    <w:tmpl w:val="C19E466C"/>
    <w:lvl w:ilvl="0" w:tplc="F564B9C6">
      <w:start w:val="1"/>
      <w:numFmt w:val="bullet"/>
      <w:lvlText w:val="•"/>
      <w:lvlJc w:val="left"/>
      <w:pPr>
        <w:tabs>
          <w:tab w:val="num" w:pos="720"/>
        </w:tabs>
        <w:ind w:left="720" w:hanging="360"/>
      </w:pPr>
      <w:rPr>
        <w:rFonts w:ascii="Arial" w:hAnsi="Arial" w:hint="default"/>
      </w:rPr>
    </w:lvl>
    <w:lvl w:ilvl="1" w:tplc="7EC239DE">
      <w:numFmt w:val="bullet"/>
      <w:lvlText w:val="•"/>
      <w:lvlJc w:val="left"/>
      <w:pPr>
        <w:tabs>
          <w:tab w:val="num" w:pos="1440"/>
        </w:tabs>
        <w:ind w:left="1440" w:hanging="360"/>
      </w:pPr>
      <w:rPr>
        <w:rFonts w:ascii="Arial" w:hAnsi="Arial" w:hint="default"/>
      </w:rPr>
    </w:lvl>
    <w:lvl w:ilvl="2" w:tplc="5DB8B584" w:tentative="1">
      <w:start w:val="1"/>
      <w:numFmt w:val="bullet"/>
      <w:lvlText w:val="•"/>
      <w:lvlJc w:val="left"/>
      <w:pPr>
        <w:tabs>
          <w:tab w:val="num" w:pos="2160"/>
        </w:tabs>
        <w:ind w:left="2160" w:hanging="360"/>
      </w:pPr>
      <w:rPr>
        <w:rFonts w:ascii="Arial" w:hAnsi="Arial" w:hint="default"/>
      </w:rPr>
    </w:lvl>
    <w:lvl w:ilvl="3" w:tplc="FCE6911A" w:tentative="1">
      <w:start w:val="1"/>
      <w:numFmt w:val="bullet"/>
      <w:lvlText w:val="•"/>
      <w:lvlJc w:val="left"/>
      <w:pPr>
        <w:tabs>
          <w:tab w:val="num" w:pos="2880"/>
        </w:tabs>
        <w:ind w:left="2880" w:hanging="360"/>
      </w:pPr>
      <w:rPr>
        <w:rFonts w:ascii="Arial" w:hAnsi="Arial" w:hint="default"/>
      </w:rPr>
    </w:lvl>
    <w:lvl w:ilvl="4" w:tplc="220EDBC2" w:tentative="1">
      <w:start w:val="1"/>
      <w:numFmt w:val="bullet"/>
      <w:lvlText w:val="•"/>
      <w:lvlJc w:val="left"/>
      <w:pPr>
        <w:tabs>
          <w:tab w:val="num" w:pos="3600"/>
        </w:tabs>
        <w:ind w:left="3600" w:hanging="360"/>
      </w:pPr>
      <w:rPr>
        <w:rFonts w:ascii="Arial" w:hAnsi="Arial" w:hint="default"/>
      </w:rPr>
    </w:lvl>
    <w:lvl w:ilvl="5" w:tplc="5D96BB3A" w:tentative="1">
      <w:start w:val="1"/>
      <w:numFmt w:val="bullet"/>
      <w:lvlText w:val="•"/>
      <w:lvlJc w:val="left"/>
      <w:pPr>
        <w:tabs>
          <w:tab w:val="num" w:pos="4320"/>
        </w:tabs>
        <w:ind w:left="4320" w:hanging="360"/>
      </w:pPr>
      <w:rPr>
        <w:rFonts w:ascii="Arial" w:hAnsi="Arial" w:hint="default"/>
      </w:rPr>
    </w:lvl>
    <w:lvl w:ilvl="6" w:tplc="1A601D8A" w:tentative="1">
      <w:start w:val="1"/>
      <w:numFmt w:val="bullet"/>
      <w:lvlText w:val="•"/>
      <w:lvlJc w:val="left"/>
      <w:pPr>
        <w:tabs>
          <w:tab w:val="num" w:pos="5040"/>
        </w:tabs>
        <w:ind w:left="5040" w:hanging="360"/>
      </w:pPr>
      <w:rPr>
        <w:rFonts w:ascii="Arial" w:hAnsi="Arial" w:hint="default"/>
      </w:rPr>
    </w:lvl>
    <w:lvl w:ilvl="7" w:tplc="774AF50C" w:tentative="1">
      <w:start w:val="1"/>
      <w:numFmt w:val="bullet"/>
      <w:lvlText w:val="•"/>
      <w:lvlJc w:val="left"/>
      <w:pPr>
        <w:tabs>
          <w:tab w:val="num" w:pos="5760"/>
        </w:tabs>
        <w:ind w:left="5760" w:hanging="360"/>
      </w:pPr>
      <w:rPr>
        <w:rFonts w:ascii="Arial" w:hAnsi="Arial" w:hint="default"/>
      </w:rPr>
    </w:lvl>
    <w:lvl w:ilvl="8" w:tplc="710A0F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D52E9"/>
    <w:multiLevelType w:val="hybridMultilevel"/>
    <w:tmpl w:val="853CEAC4"/>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0B0E5C8A"/>
    <w:multiLevelType w:val="hybridMultilevel"/>
    <w:tmpl w:val="6A3C223C"/>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E3B07E5"/>
    <w:multiLevelType w:val="hybridMultilevel"/>
    <w:tmpl w:val="18C0DA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5B55CFB"/>
    <w:multiLevelType w:val="hybridMultilevel"/>
    <w:tmpl w:val="CE762BF4"/>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FB0B936">
      <w:numFmt w:val="bullet"/>
      <w:lvlText w:val="-"/>
      <w:lvlJc w:val="left"/>
      <w:pPr>
        <w:ind w:left="2520" w:hanging="360"/>
      </w:pPr>
      <w:rPr>
        <w:rFonts w:ascii="Calibri" w:eastAsiaTheme="minorHAnsi" w:hAnsi="Calibri" w:cs="Calibri"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7A35F49"/>
    <w:multiLevelType w:val="hybridMultilevel"/>
    <w:tmpl w:val="EC180394"/>
    <w:lvl w:ilvl="0" w:tplc="06729B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A4080E"/>
    <w:multiLevelType w:val="hybridMultilevel"/>
    <w:tmpl w:val="783AAC5A"/>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3F7C4C"/>
    <w:multiLevelType w:val="hybridMultilevel"/>
    <w:tmpl w:val="65B2CB02"/>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72C4BE1"/>
    <w:multiLevelType w:val="hybridMultilevel"/>
    <w:tmpl w:val="3F12F84E"/>
    <w:lvl w:ilvl="0" w:tplc="074EAB0A">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A372CE"/>
    <w:multiLevelType w:val="hybridMultilevel"/>
    <w:tmpl w:val="34C85C8C"/>
    <w:lvl w:ilvl="0" w:tplc="3FB0B93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FB0B936">
      <w:numFmt w:val="bullet"/>
      <w:lvlText w:val="-"/>
      <w:lvlJc w:val="left"/>
      <w:pPr>
        <w:ind w:left="2520" w:hanging="360"/>
      </w:pPr>
      <w:rPr>
        <w:rFonts w:ascii="Calibri" w:eastAsiaTheme="minorHAnsi" w:hAnsi="Calibri" w:cs="Calibri"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F4320E8"/>
    <w:multiLevelType w:val="hybridMultilevel"/>
    <w:tmpl w:val="82B4CF7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6053515"/>
    <w:multiLevelType w:val="hybridMultilevel"/>
    <w:tmpl w:val="65F4E1FC"/>
    <w:lvl w:ilvl="0" w:tplc="34FAD26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61ED7BD6"/>
    <w:multiLevelType w:val="hybridMultilevel"/>
    <w:tmpl w:val="82B4CF76"/>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AC85B1C"/>
    <w:multiLevelType w:val="hybridMultilevel"/>
    <w:tmpl w:val="884073E8"/>
    <w:lvl w:ilvl="0" w:tplc="3FB0B93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2B67B7A"/>
    <w:multiLevelType w:val="hybridMultilevel"/>
    <w:tmpl w:val="7CB47E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10"/>
  </w:num>
  <w:num w:numId="5">
    <w:abstractNumId w:val="0"/>
  </w:num>
  <w:num w:numId="6">
    <w:abstractNumId w:val="9"/>
  </w:num>
  <w:num w:numId="7">
    <w:abstractNumId w:val="2"/>
  </w:num>
  <w:num w:numId="8">
    <w:abstractNumId w:val="15"/>
  </w:num>
  <w:num w:numId="9">
    <w:abstractNumId w:val="11"/>
  </w:num>
  <w:num w:numId="10">
    <w:abstractNumId w:val="3"/>
  </w:num>
  <w:num w:numId="11">
    <w:abstractNumId w:val="4"/>
  </w:num>
  <w:num w:numId="12">
    <w:abstractNumId w:val="8"/>
  </w:num>
  <w:num w:numId="13">
    <w:abstractNumId w:val="1"/>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A8"/>
    <w:rsid w:val="000173CD"/>
    <w:rsid w:val="00025B9D"/>
    <w:rsid w:val="000622E2"/>
    <w:rsid w:val="0007479C"/>
    <w:rsid w:val="001340F1"/>
    <w:rsid w:val="00196A43"/>
    <w:rsid w:val="001A527D"/>
    <w:rsid w:val="001D646C"/>
    <w:rsid w:val="002665BE"/>
    <w:rsid w:val="002F7EC5"/>
    <w:rsid w:val="0031735C"/>
    <w:rsid w:val="00370A73"/>
    <w:rsid w:val="003A5068"/>
    <w:rsid w:val="00400A76"/>
    <w:rsid w:val="004137B0"/>
    <w:rsid w:val="004748B4"/>
    <w:rsid w:val="005021A8"/>
    <w:rsid w:val="005431A8"/>
    <w:rsid w:val="00562FE7"/>
    <w:rsid w:val="006D37B6"/>
    <w:rsid w:val="006D39FF"/>
    <w:rsid w:val="006F2669"/>
    <w:rsid w:val="00752741"/>
    <w:rsid w:val="007B6D21"/>
    <w:rsid w:val="00817807"/>
    <w:rsid w:val="00840E64"/>
    <w:rsid w:val="0085790C"/>
    <w:rsid w:val="008606DA"/>
    <w:rsid w:val="00867F4B"/>
    <w:rsid w:val="00872BA5"/>
    <w:rsid w:val="008A0379"/>
    <w:rsid w:val="008A1252"/>
    <w:rsid w:val="008A1F97"/>
    <w:rsid w:val="008A7AB3"/>
    <w:rsid w:val="008B0DA6"/>
    <w:rsid w:val="009130F7"/>
    <w:rsid w:val="009262D3"/>
    <w:rsid w:val="009443CB"/>
    <w:rsid w:val="009810AE"/>
    <w:rsid w:val="009D0957"/>
    <w:rsid w:val="009F68BE"/>
    <w:rsid w:val="00A00974"/>
    <w:rsid w:val="00A0273C"/>
    <w:rsid w:val="00A178CB"/>
    <w:rsid w:val="00A5379C"/>
    <w:rsid w:val="00AC631B"/>
    <w:rsid w:val="00AE0A65"/>
    <w:rsid w:val="00B07686"/>
    <w:rsid w:val="00B25E36"/>
    <w:rsid w:val="00BB5066"/>
    <w:rsid w:val="00BC3147"/>
    <w:rsid w:val="00C52D3B"/>
    <w:rsid w:val="00C60C34"/>
    <w:rsid w:val="00C66A27"/>
    <w:rsid w:val="00C76511"/>
    <w:rsid w:val="00CB5A1B"/>
    <w:rsid w:val="00D01BCA"/>
    <w:rsid w:val="00D04EB9"/>
    <w:rsid w:val="00D17790"/>
    <w:rsid w:val="00D3332B"/>
    <w:rsid w:val="00DA04C3"/>
    <w:rsid w:val="00DD4E09"/>
    <w:rsid w:val="00E00B3F"/>
    <w:rsid w:val="00E11F25"/>
    <w:rsid w:val="00E24E3D"/>
    <w:rsid w:val="00E67E3F"/>
    <w:rsid w:val="00E973E1"/>
    <w:rsid w:val="00EA50E4"/>
    <w:rsid w:val="00EA6901"/>
    <w:rsid w:val="00F025BE"/>
    <w:rsid w:val="00F45679"/>
    <w:rsid w:val="00F95129"/>
    <w:rsid w:val="00FA356E"/>
    <w:rsid w:val="00FF2953"/>
    <w:rsid w:val="00FF67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A855"/>
  <w15:chartTrackingRefBased/>
  <w15:docId w15:val="{DCAF2139-B23E-4C04-A42C-5AF511B4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21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E973E1"/>
    <w:pPr>
      <w:ind w:left="720"/>
      <w:contextualSpacing/>
    </w:pPr>
  </w:style>
  <w:style w:type="character" w:customStyle="1" w:styleId="LijstalineaChar">
    <w:name w:val="Lijstalinea Char"/>
    <w:aliases w:val="opsommingen Char"/>
    <w:link w:val="Lijstalinea"/>
    <w:uiPriority w:val="34"/>
    <w:locked/>
    <w:rsid w:val="00A178CB"/>
  </w:style>
  <w:style w:type="paragraph" w:styleId="Geenafstand">
    <w:name w:val="No Spacing"/>
    <w:uiPriority w:val="1"/>
    <w:qFormat/>
    <w:rsid w:val="008A1F97"/>
    <w:pPr>
      <w:spacing w:after="0" w:line="240" w:lineRule="auto"/>
    </w:pPr>
  </w:style>
  <w:style w:type="character" w:styleId="Zwaar">
    <w:name w:val="Strong"/>
    <w:basedOn w:val="Standaardalinea-lettertype"/>
    <w:qFormat/>
    <w:rsid w:val="008A1F97"/>
    <w:rPr>
      <w:b/>
      <w:bCs/>
    </w:rPr>
  </w:style>
  <w:style w:type="table" w:styleId="Tabelraster">
    <w:name w:val="Table Grid"/>
    <w:basedOn w:val="Standaardtabel"/>
    <w:uiPriority w:val="39"/>
    <w:rsid w:val="008A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01BCA"/>
    <w:rPr>
      <w:color w:val="0563C1" w:themeColor="hyperlink"/>
      <w:u w:val="single"/>
    </w:rPr>
  </w:style>
  <w:style w:type="character" w:styleId="Onopgelostemelding">
    <w:name w:val="Unresolved Mention"/>
    <w:basedOn w:val="Standaardalinea-lettertype"/>
    <w:uiPriority w:val="99"/>
    <w:semiHidden/>
    <w:unhideWhenUsed/>
    <w:rsid w:val="00D0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9856">
      <w:bodyDiv w:val="1"/>
      <w:marLeft w:val="0"/>
      <w:marRight w:val="0"/>
      <w:marTop w:val="0"/>
      <w:marBottom w:val="0"/>
      <w:divBdr>
        <w:top w:val="none" w:sz="0" w:space="0" w:color="auto"/>
        <w:left w:val="none" w:sz="0" w:space="0" w:color="auto"/>
        <w:bottom w:val="none" w:sz="0" w:space="0" w:color="auto"/>
        <w:right w:val="none" w:sz="0" w:space="0" w:color="auto"/>
      </w:divBdr>
      <w:divsChild>
        <w:div w:id="1877614756">
          <w:marLeft w:val="360"/>
          <w:marRight w:val="0"/>
          <w:marTop w:val="200"/>
          <w:marBottom w:val="0"/>
          <w:divBdr>
            <w:top w:val="none" w:sz="0" w:space="0" w:color="auto"/>
            <w:left w:val="none" w:sz="0" w:space="0" w:color="auto"/>
            <w:bottom w:val="none" w:sz="0" w:space="0" w:color="auto"/>
            <w:right w:val="none" w:sz="0" w:space="0" w:color="auto"/>
          </w:divBdr>
        </w:div>
        <w:div w:id="449326507">
          <w:marLeft w:val="1080"/>
          <w:marRight w:val="0"/>
          <w:marTop w:val="100"/>
          <w:marBottom w:val="0"/>
          <w:divBdr>
            <w:top w:val="none" w:sz="0" w:space="0" w:color="auto"/>
            <w:left w:val="none" w:sz="0" w:space="0" w:color="auto"/>
            <w:bottom w:val="none" w:sz="0" w:space="0" w:color="auto"/>
            <w:right w:val="none" w:sz="0" w:space="0" w:color="auto"/>
          </w:divBdr>
        </w:div>
        <w:div w:id="1780026904">
          <w:marLeft w:val="1080"/>
          <w:marRight w:val="0"/>
          <w:marTop w:val="100"/>
          <w:marBottom w:val="0"/>
          <w:divBdr>
            <w:top w:val="none" w:sz="0" w:space="0" w:color="auto"/>
            <w:left w:val="none" w:sz="0" w:space="0" w:color="auto"/>
            <w:bottom w:val="none" w:sz="0" w:space="0" w:color="auto"/>
            <w:right w:val="none" w:sz="0" w:space="0" w:color="auto"/>
          </w:divBdr>
        </w:div>
        <w:div w:id="1643193405">
          <w:marLeft w:val="1080"/>
          <w:marRight w:val="0"/>
          <w:marTop w:val="100"/>
          <w:marBottom w:val="0"/>
          <w:divBdr>
            <w:top w:val="none" w:sz="0" w:space="0" w:color="auto"/>
            <w:left w:val="none" w:sz="0" w:space="0" w:color="auto"/>
            <w:bottom w:val="none" w:sz="0" w:space="0" w:color="auto"/>
            <w:right w:val="none" w:sz="0" w:space="0" w:color="auto"/>
          </w:divBdr>
        </w:div>
        <w:div w:id="2065054645">
          <w:marLeft w:val="1080"/>
          <w:marRight w:val="0"/>
          <w:marTop w:val="100"/>
          <w:marBottom w:val="0"/>
          <w:divBdr>
            <w:top w:val="none" w:sz="0" w:space="0" w:color="auto"/>
            <w:left w:val="none" w:sz="0" w:space="0" w:color="auto"/>
            <w:bottom w:val="none" w:sz="0" w:space="0" w:color="auto"/>
            <w:right w:val="none" w:sz="0" w:space="0" w:color="auto"/>
          </w:divBdr>
        </w:div>
        <w:div w:id="1369719623">
          <w:marLeft w:val="1080"/>
          <w:marRight w:val="0"/>
          <w:marTop w:val="100"/>
          <w:marBottom w:val="0"/>
          <w:divBdr>
            <w:top w:val="none" w:sz="0" w:space="0" w:color="auto"/>
            <w:left w:val="none" w:sz="0" w:space="0" w:color="auto"/>
            <w:bottom w:val="none" w:sz="0" w:space="0" w:color="auto"/>
            <w:right w:val="none" w:sz="0" w:space="0" w:color="auto"/>
          </w:divBdr>
        </w:div>
      </w:divsChild>
    </w:div>
    <w:div w:id="526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rwijs.vlaanderen.be/nl/oekrainecrisis-extra-maatregelen-in-onderwijs"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plu\Downloads\Relatieve_aanwezigheid_basisonderwijs_2019-2020%20(1)%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Evolutie</a:t>
            </a:r>
            <a:r>
              <a:rPr lang="nl-BE" baseline="0"/>
              <a:t> indicatorleerlingen per vestigingsplaats 2013-2019 </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'Overzicht per vestigingsplaats'!$B$3565</c:f>
              <c:strCache>
                <c:ptCount val="1"/>
                <c:pt idx="0">
                  <c:v>2013-2014</c:v>
                </c:pt>
              </c:strCache>
            </c:strRef>
          </c:tx>
          <c:spPr>
            <a:solidFill>
              <a:schemeClr val="accent1"/>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vestigingsplaats'!$B$3566:$B$3583</c:f>
              <c:numCache>
                <c:formatCode>General</c:formatCode>
                <c:ptCount val="18"/>
                <c:pt idx="0">
                  <c:v>46.9</c:v>
                </c:pt>
                <c:pt idx="1">
                  <c:v>81.5</c:v>
                </c:pt>
                <c:pt idx="2">
                  <c:v>43.5</c:v>
                </c:pt>
                <c:pt idx="3">
                  <c:v>58.8</c:v>
                </c:pt>
                <c:pt idx="4">
                  <c:v>14.5</c:v>
                </c:pt>
                <c:pt idx="5">
                  <c:v>77</c:v>
                </c:pt>
                <c:pt idx="6">
                  <c:v>43.2</c:v>
                </c:pt>
                <c:pt idx="7">
                  <c:v>71.8</c:v>
                </c:pt>
                <c:pt idx="8">
                  <c:v>50.6</c:v>
                </c:pt>
                <c:pt idx="9">
                  <c:v>90.2</c:v>
                </c:pt>
                <c:pt idx="10">
                  <c:v>86.7</c:v>
                </c:pt>
                <c:pt idx="11">
                  <c:v>33.9</c:v>
                </c:pt>
                <c:pt idx="12">
                  <c:v>40.1</c:v>
                </c:pt>
                <c:pt idx="13">
                  <c:v>43.9</c:v>
                </c:pt>
                <c:pt idx="14">
                  <c:v>19.5</c:v>
                </c:pt>
                <c:pt idx="15">
                  <c:v>55</c:v>
                </c:pt>
                <c:pt idx="16">
                  <c:v>52</c:v>
                </c:pt>
              </c:numCache>
            </c:numRef>
          </c:val>
          <c:extLst>
            <c:ext xmlns:c16="http://schemas.microsoft.com/office/drawing/2014/chart" uri="{C3380CC4-5D6E-409C-BE32-E72D297353CC}">
              <c16:uniqueId val="{00000000-3B6D-4CF3-8E96-6EC473D7DD86}"/>
            </c:ext>
          </c:extLst>
        </c:ser>
        <c:ser>
          <c:idx val="1"/>
          <c:order val="1"/>
          <c:tx>
            <c:strRef>
              <c:f>'Overzicht per vestigingsplaats'!$C$3565</c:f>
              <c:strCache>
                <c:ptCount val="1"/>
                <c:pt idx="0">
                  <c:v>2014-2015</c:v>
                </c:pt>
              </c:strCache>
            </c:strRef>
          </c:tx>
          <c:spPr>
            <a:solidFill>
              <a:schemeClr val="accent2"/>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vestigingsplaats'!$C$3566:$C$3583</c:f>
              <c:numCache>
                <c:formatCode>General</c:formatCode>
                <c:ptCount val="18"/>
                <c:pt idx="0">
                  <c:v>45.2</c:v>
                </c:pt>
                <c:pt idx="1">
                  <c:v>77.900000000000006</c:v>
                </c:pt>
                <c:pt idx="2">
                  <c:v>40.4</c:v>
                </c:pt>
                <c:pt idx="3">
                  <c:v>53.7</c:v>
                </c:pt>
                <c:pt idx="4">
                  <c:v>22.9</c:v>
                </c:pt>
                <c:pt idx="5">
                  <c:v>74.900000000000006</c:v>
                </c:pt>
                <c:pt idx="6">
                  <c:v>47.6</c:v>
                </c:pt>
                <c:pt idx="7">
                  <c:v>65.2</c:v>
                </c:pt>
                <c:pt idx="8">
                  <c:v>47.2</c:v>
                </c:pt>
                <c:pt idx="9">
                  <c:v>85.4</c:v>
                </c:pt>
                <c:pt idx="10">
                  <c:v>81.7</c:v>
                </c:pt>
                <c:pt idx="11">
                  <c:v>35.700000000000003</c:v>
                </c:pt>
                <c:pt idx="12">
                  <c:v>42.3</c:v>
                </c:pt>
                <c:pt idx="13">
                  <c:v>47.9</c:v>
                </c:pt>
                <c:pt idx="14">
                  <c:v>14.8</c:v>
                </c:pt>
                <c:pt idx="15">
                  <c:v>58.8</c:v>
                </c:pt>
                <c:pt idx="16">
                  <c:v>32.799999999999997</c:v>
                </c:pt>
              </c:numCache>
            </c:numRef>
          </c:val>
          <c:extLst>
            <c:ext xmlns:c16="http://schemas.microsoft.com/office/drawing/2014/chart" uri="{C3380CC4-5D6E-409C-BE32-E72D297353CC}">
              <c16:uniqueId val="{00000001-3B6D-4CF3-8E96-6EC473D7DD86}"/>
            </c:ext>
          </c:extLst>
        </c:ser>
        <c:ser>
          <c:idx val="2"/>
          <c:order val="2"/>
          <c:tx>
            <c:strRef>
              <c:f>'Overzicht per vestigingsplaats'!$D$3565</c:f>
              <c:strCache>
                <c:ptCount val="1"/>
                <c:pt idx="0">
                  <c:v>2015-2016</c:v>
                </c:pt>
              </c:strCache>
            </c:strRef>
          </c:tx>
          <c:spPr>
            <a:solidFill>
              <a:schemeClr val="accent3"/>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vestigingsplaats'!$D$3566:$D$3583</c:f>
              <c:numCache>
                <c:formatCode>General</c:formatCode>
                <c:ptCount val="18"/>
                <c:pt idx="0">
                  <c:v>49</c:v>
                </c:pt>
                <c:pt idx="1">
                  <c:v>74</c:v>
                </c:pt>
                <c:pt idx="2">
                  <c:v>39</c:v>
                </c:pt>
                <c:pt idx="3">
                  <c:v>58</c:v>
                </c:pt>
                <c:pt idx="4">
                  <c:v>32</c:v>
                </c:pt>
                <c:pt idx="5">
                  <c:v>78</c:v>
                </c:pt>
                <c:pt idx="6">
                  <c:v>45</c:v>
                </c:pt>
                <c:pt idx="7">
                  <c:v>67</c:v>
                </c:pt>
                <c:pt idx="8">
                  <c:v>33</c:v>
                </c:pt>
                <c:pt idx="9">
                  <c:v>86</c:v>
                </c:pt>
                <c:pt idx="10">
                  <c:v>85</c:v>
                </c:pt>
                <c:pt idx="11">
                  <c:v>36</c:v>
                </c:pt>
                <c:pt idx="12">
                  <c:v>46</c:v>
                </c:pt>
                <c:pt idx="13">
                  <c:v>53</c:v>
                </c:pt>
                <c:pt idx="14">
                  <c:v>17</c:v>
                </c:pt>
                <c:pt idx="15">
                  <c:v>58</c:v>
                </c:pt>
                <c:pt idx="16">
                  <c:v>30</c:v>
                </c:pt>
              </c:numCache>
            </c:numRef>
          </c:val>
          <c:extLst>
            <c:ext xmlns:c16="http://schemas.microsoft.com/office/drawing/2014/chart" uri="{C3380CC4-5D6E-409C-BE32-E72D297353CC}">
              <c16:uniqueId val="{00000002-3B6D-4CF3-8E96-6EC473D7DD86}"/>
            </c:ext>
          </c:extLst>
        </c:ser>
        <c:ser>
          <c:idx val="3"/>
          <c:order val="3"/>
          <c:tx>
            <c:strRef>
              <c:f>'Overzicht per vestigingsplaats'!$E$3565</c:f>
              <c:strCache>
                <c:ptCount val="1"/>
                <c:pt idx="0">
                  <c:v>2016-2017</c:v>
                </c:pt>
              </c:strCache>
            </c:strRef>
          </c:tx>
          <c:spPr>
            <a:solidFill>
              <a:schemeClr val="accent4"/>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vestigingsplaats'!$E$3566:$E$3583</c:f>
              <c:numCache>
                <c:formatCode>General</c:formatCode>
                <c:ptCount val="18"/>
                <c:pt idx="0">
                  <c:v>48.2</c:v>
                </c:pt>
                <c:pt idx="1">
                  <c:v>75.5</c:v>
                </c:pt>
                <c:pt idx="2">
                  <c:v>36.4</c:v>
                </c:pt>
                <c:pt idx="3">
                  <c:v>57.6</c:v>
                </c:pt>
                <c:pt idx="4">
                  <c:v>30</c:v>
                </c:pt>
                <c:pt idx="5">
                  <c:v>78.900000000000006</c:v>
                </c:pt>
                <c:pt idx="6">
                  <c:v>45.3</c:v>
                </c:pt>
                <c:pt idx="7">
                  <c:v>66</c:v>
                </c:pt>
                <c:pt idx="8">
                  <c:v>43.3</c:v>
                </c:pt>
                <c:pt idx="10">
                  <c:v>85.2</c:v>
                </c:pt>
                <c:pt idx="11">
                  <c:v>38.200000000000003</c:v>
                </c:pt>
                <c:pt idx="12">
                  <c:v>45.5</c:v>
                </c:pt>
                <c:pt idx="13">
                  <c:v>54.1</c:v>
                </c:pt>
                <c:pt idx="14">
                  <c:v>17.3</c:v>
                </c:pt>
                <c:pt idx="15">
                  <c:v>59</c:v>
                </c:pt>
                <c:pt idx="16" formatCode="0.00%">
                  <c:v>0.31900000000000001</c:v>
                </c:pt>
                <c:pt idx="17">
                  <c:v>25</c:v>
                </c:pt>
              </c:numCache>
            </c:numRef>
          </c:val>
          <c:extLst>
            <c:ext xmlns:c16="http://schemas.microsoft.com/office/drawing/2014/chart" uri="{C3380CC4-5D6E-409C-BE32-E72D297353CC}">
              <c16:uniqueId val="{00000003-3B6D-4CF3-8E96-6EC473D7DD86}"/>
            </c:ext>
          </c:extLst>
        </c:ser>
        <c:ser>
          <c:idx val="4"/>
          <c:order val="4"/>
          <c:tx>
            <c:strRef>
              <c:f>'Overzicht per vestigingsplaats'!$F$3565</c:f>
              <c:strCache>
                <c:ptCount val="1"/>
                <c:pt idx="0">
                  <c:v>2017-2018</c:v>
                </c:pt>
              </c:strCache>
            </c:strRef>
          </c:tx>
          <c:spPr>
            <a:solidFill>
              <a:schemeClr val="accent5"/>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vestigingsplaats'!$F$3566:$F$3583</c:f>
              <c:numCache>
                <c:formatCode>General</c:formatCode>
                <c:ptCount val="18"/>
                <c:pt idx="0">
                  <c:v>46.1</c:v>
                </c:pt>
                <c:pt idx="1">
                  <c:v>82.5</c:v>
                </c:pt>
                <c:pt idx="2">
                  <c:v>38.700000000000003</c:v>
                </c:pt>
                <c:pt idx="3">
                  <c:v>63.9</c:v>
                </c:pt>
                <c:pt idx="4">
                  <c:v>37.700000000000003</c:v>
                </c:pt>
                <c:pt idx="5">
                  <c:v>81.2</c:v>
                </c:pt>
                <c:pt idx="6">
                  <c:v>49.5</c:v>
                </c:pt>
                <c:pt idx="7">
                  <c:v>63.8</c:v>
                </c:pt>
                <c:pt idx="8">
                  <c:v>38.299999999999997</c:v>
                </c:pt>
                <c:pt idx="10">
                  <c:v>83.2</c:v>
                </c:pt>
                <c:pt idx="11">
                  <c:v>47.5</c:v>
                </c:pt>
                <c:pt idx="12">
                  <c:v>46.1</c:v>
                </c:pt>
                <c:pt idx="13">
                  <c:v>53.3</c:v>
                </c:pt>
                <c:pt idx="14">
                  <c:v>16.100000000000001</c:v>
                </c:pt>
                <c:pt idx="15">
                  <c:v>59.8</c:v>
                </c:pt>
                <c:pt idx="16">
                  <c:v>33.799999999999997</c:v>
                </c:pt>
                <c:pt idx="17">
                  <c:v>36.200000000000003</c:v>
                </c:pt>
              </c:numCache>
            </c:numRef>
          </c:val>
          <c:extLst>
            <c:ext xmlns:c16="http://schemas.microsoft.com/office/drawing/2014/chart" uri="{C3380CC4-5D6E-409C-BE32-E72D297353CC}">
              <c16:uniqueId val="{00000004-3B6D-4CF3-8E96-6EC473D7DD86}"/>
            </c:ext>
          </c:extLst>
        </c:ser>
        <c:ser>
          <c:idx val="5"/>
          <c:order val="5"/>
          <c:tx>
            <c:strRef>
              <c:f>'Overzicht per vestigingsplaats'!$G$3565</c:f>
              <c:strCache>
                <c:ptCount val="1"/>
                <c:pt idx="0">
                  <c:v>2018-2019</c:v>
                </c:pt>
              </c:strCache>
            </c:strRef>
          </c:tx>
          <c:spPr>
            <a:solidFill>
              <a:schemeClr val="accent6"/>
            </a:solidFill>
            <a:ln>
              <a:noFill/>
            </a:ln>
            <a:effectLst/>
          </c:spPr>
          <c:invertIfNegative val="0"/>
          <c:cat>
            <c:strRef>
              <c:f>'Overzicht per vestigingsplaats'!$A$3566:$A$3583</c:f>
              <c:strCache>
                <c:ptCount val="18"/>
                <c:pt idx="0">
                  <c:v>BSGO Germinal</c:v>
                </c:pt>
                <c:pt idx="1">
                  <c:v>BSGO Astridplein</c:v>
                </c:pt>
                <c:pt idx="2">
                  <c:v>CSA  AAT</c:v>
                </c:pt>
                <c:pt idx="3">
                  <c:v>CSA CDG 1</c:v>
                </c:pt>
                <c:pt idx="4">
                  <c:v>CGK Lor</c:v>
                </c:pt>
                <c:pt idx="5">
                  <c:v>CGK SPN 6</c:v>
                </c:pt>
                <c:pt idx="6">
                  <c:v>CGK SPN 4 </c:v>
                </c:pt>
                <c:pt idx="7">
                  <c:v>KSGO Floréal </c:v>
                </c:pt>
                <c:pt idx="8">
                  <c:v>KSGO Germinal</c:v>
                </c:pt>
                <c:pt idx="9">
                  <c:v>KSGO Marijve </c:v>
                </c:pt>
                <c:pt idx="10">
                  <c:v>KSGO VGB</c:v>
                </c:pt>
                <c:pt idx="11">
                  <c:v>CGL 1</c:v>
                </c:pt>
                <c:pt idx="12">
                  <c:v>CGL 2 </c:v>
                </c:pt>
                <c:pt idx="13">
                  <c:v>CSA CDG 2</c:v>
                </c:pt>
                <c:pt idx="14">
                  <c:v>CSA Klijpe</c:v>
                </c:pt>
                <c:pt idx="15">
                  <c:v>CSA CDG 3</c:v>
                </c:pt>
                <c:pt idx="16">
                  <c:v>Serafijn </c:v>
                </c:pt>
                <c:pt idx="17">
                  <c:v>Ringelwikke</c:v>
                </c:pt>
              </c:strCache>
            </c:strRef>
          </c:cat>
          <c:val>
            <c:numRef>
              <c:f>'Overzicht per vestigingsplaats'!$G$3566:$G$3583</c:f>
              <c:numCache>
                <c:formatCode>General</c:formatCode>
                <c:ptCount val="18"/>
                <c:pt idx="0">
                  <c:v>48.8</c:v>
                </c:pt>
                <c:pt idx="1">
                  <c:v>84.6</c:v>
                </c:pt>
                <c:pt idx="2">
                  <c:v>38.6</c:v>
                </c:pt>
                <c:pt idx="3">
                  <c:v>63.9</c:v>
                </c:pt>
                <c:pt idx="4">
                  <c:v>31.2</c:v>
                </c:pt>
                <c:pt idx="5">
                  <c:v>79.7</c:v>
                </c:pt>
                <c:pt idx="7">
                  <c:v>60</c:v>
                </c:pt>
                <c:pt idx="8">
                  <c:v>36.9</c:v>
                </c:pt>
                <c:pt idx="10">
                  <c:v>88.7</c:v>
                </c:pt>
                <c:pt idx="11">
                  <c:v>49.8</c:v>
                </c:pt>
                <c:pt idx="12">
                  <c:v>51.9</c:v>
                </c:pt>
                <c:pt idx="13">
                  <c:v>54.4</c:v>
                </c:pt>
                <c:pt idx="14">
                  <c:v>11.4</c:v>
                </c:pt>
                <c:pt idx="15">
                  <c:v>65.8</c:v>
                </c:pt>
                <c:pt idx="16">
                  <c:v>31.1</c:v>
                </c:pt>
                <c:pt idx="17">
                  <c:v>25.8</c:v>
                </c:pt>
              </c:numCache>
            </c:numRef>
          </c:val>
          <c:extLst>
            <c:ext xmlns:c16="http://schemas.microsoft.com/office/drawing/2014/chart" uri="{C3380CC4-5D6E-409C-BE32-E72D297353CC}">
              <c16:uniqueId val="{00000005-3B6D-4CF3-8E96-6EC473D7DD86}"/>
            </c:ext>
          </c:extLst>
        </c:ser>
        <c:dLbls>
          <c:showLegendKey val="0"/>
          <c:showVal val="0"/>
          <c:showCatName val="0"/>
          <c:showSerName val="0"/>
          <c:showPercent val="0"/>
          <c:showBubbleSize val="0"/>
        </c:dLbls>
        <c:gapWidth val="219"/>
        <c:overlap val="-27"/>
        <c:axId val="892152056"/>
        <c:axId val="892148776"/>
      </c:barChart>
      <c:catAx>
        <c:axId val="89215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92148776"/>
        <c:crosses val="autoZero"/>
        <c:auto val="1"/>
        <c:lblAlgn val="ctr"/>
        <c:lblOffset val="100"/>
        <c:noMultiLvlLbl val="0"/>
      </c:catAx>
      <c:valAx>
        <c:axId val="89214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9215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6</Pages>
  <Words>1853</Words>
  <Characters>10197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52</cp:revision>
  <cp:lastPrinted>2022-03-30T23:13:00Z</cp:lastPrinted>
  <dcterms:created xsi:type="dcterms:W3CDTF">2021-06-18T07:12:00Z</dcterms:created>
  <dcterms:modified xsi:type="dcterms:W3CDTF">2022-06-08T20:40:00Z</dcterms:modified>
</cp:coreProperties>
</file>